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default" w:ascii="Times New Roman" w:hAnsi="Times New Roman" w:eastAsia="方正小标宋简体" w:cs="Times New Roman"/>
          <w:color w:val="000000" w:themeColor="text1"/>
          <w:sz w:val="32"/>
          <w:szCs w:val="32"/>
          <w:highlight w:val="none"/>
          <w14:textFill>
            <w14:solidFill>
              <w14:schemeClr w14:val="tx1"/>
            </w14:solidFill>
          </w14:textFill>
        </w:rPr>
      </w:pPr>
      <w:r>
        <w:rPr>
          <w:rFonts w:hint="default" w:ascii="Times New Roman" w:hAnsi="Times New Roman" w:eastAsia="方正小标宋简体" w:cs="Times New Roman"/>
          <w:color w:val="000000" w:themeColor="text1"/>
          <w:sz w:val="32"/>
          <w:szCs w:val="32"/>
          <w:highlight w:val="none"/>
          <w14:textFill>
            <w14:solidFill>
              <w14:schemeClr w14:val="tx1"/>
            </w14:solidFill>
          </w14:textFill>
        </w:rPr>
        <w:t>工业和商用电动食品加工设备产品质量监督抽查实施细则</w:t>
      </w:r>
    </w:p>
    <w:p>
      <w:pPr>
        <w:spacing w:line="440" w:lineRule="exact"/>
        <w:jc w:val="center"/>
        <w:rPr>
          <w:rFonts w:hint="default" w:ascii="Times New Roman" w:hAnsi="Times New Roman" w:eastAsia="方正小标宋简体" w:cs="Times New Roman"/>
          <w:color w:val="000000" w:themeColor="text1"/>
          <w:sz w:val="32"/>
          <w:szCs w:val="32"/>
          <w:highlight w:val="none"/>
          <w14:textFill>
            <w14:solidFill>
              <w14:schemeClr w14:val="tx1"/>
            </w14:solidFill>
          </w14:textFill>
        </w:rPr>
      </w:pPr>
      <w:r>
        <w:rPr>
          <w:rFonts w:hint="default" w:ascii="Times New Roman" w:hAnsi="Times New Roman" w:eastAsia="方正小标宋简体" w:cs="Times New Roman"/>
          <w:color w:val="000000" w:themeColor="text1"/>
          <w:sz w:val="32"/>
          <w:szCs w:val="32"/>
          <w:highlight w:val="none"/>
          <w14:textFill>
            <w14:solidFill>
              <w14:schemeClr w14:val="tx1"/>
            </w14:solidFill>
          </w14:textFill>
        </w:rPr>
        <w:t>（2026年版）</w:t>
      </w:r>
    </w:p>
    <w:p>
      <w:pPr>
        <w:shd w:val="clear" w:color="auto" w:fill="FFFFFF"/>
        <w:snapToGrid w:val="0"/>
        <w:spacing w:line="440" w:lineRule="exact"/>
        <w:rPr>
          <w:rFonts w:hint="default" w:ascii="Times New Roman" w:hAnsi="Times New Roman" w:cs="Times New Roman"/>
          <w:color w:val="000000" w:themeColor="text1"/>
          <w:highlight w:val="none"/>
          <w14:textFill>
            <w14:solidFill>
              <w14:schemeClr w14:val="tx1"/>
            </w14:solidFill>
          </w14:textFill>
        </w:rPr>
      </w:pPr>
    </w:p>
    <w:p>
      <w:pPr>
        <w:shd w:val="clear" w:color="auto" w:fill="FFFFFF"/>
        <w:snapToGrid w:val="0"/>
        <w:spacing w:line="440" w:lineRule="exact"/>
        <w:rPr>
          <w:rFonts w:hint="default" w:ascii="Times New Roman" w:hAnsi="Times New Roman" w:eastAsia="黑体" w:cs="Times New Roman"/>
          <w:color w:val="000000" w:themeColor="text1"/>
          <w:highlight w:val="none"/>
          <w14:textFill>
            <w14:solidFill>
              <w14:schemeClr w14:val="tx1"/>
            </w14:solidFill>
          </w14:textFill>
        </w:rPr>
      </w:pPr>
      <w:r>
        <w:rPr>
          <w:rFonts w:hint="default" w:ascii="Times New Roman" w:hAnsi="Times New Roman" w:eastAsia="黑体" w:cs="Times New Roman"/>
          <w:color w:val="000000" w:themeColor="text1"/>
          <w:highlight w:val="none"/>
          <w14:textFill>
            <w14:solidFill>
              <w14:schemeClr w14:val="tx1"/>
            </w14:solidFill>
          </w14:textFill>
        </w:rPr>
        <w:t>1 抽样方法</w:t>
      </w:r>
    </w:p>
    <w:p>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以随机抽样的方式在被抽样生产者、销售者的待销产品中抽取。</w:t>
      </w:r>
    </w:p>
    <w:p>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随机数一般可使用随机数表等方法产生。</w:t>
      </w:r>
    </w:p>
    <w:p>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整机：每批次产品抽取样品2台，其中检验样品1台，备用样品1台。</w:t>
      </w:r>
    </w:p>
    <w:p>
      <w:pPr>
        <w:shd w:val="clear" w:color="auto" w:fill="FFFFFF"/>
        <w:adjustRightInd w:val="0"/>
        <w:snapToGrid w:val="0"/>
        <w:spacing w:line="440" w:lineRule="exact"/>
        <w:ind w:left="11" w:firstLine="420" w:firstLineChars="200"/>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材料样块：抽取与食品</w:t>
      </w:r>
      <w:r>
        <w:rPr>
          <w:rFonts w:hint="default" w:ascii="Times New Roman" w:hAnsi="Times New Roman" w:cs="Times New Roman"/>
          <w:color w:val="000000" w:themeColor="text1"/>
          <w:highlight w:val="none"/>
          <w:lang w:val="en-US" w:eastAsia="zh-CN"/>
          <w14:textFill>
            <w14:solidFill>
              <w14:schemeClr w14:val="tx1"/>
            </w14:solidFill>
          </w14:textFill>
        </w:rPr>
        <w:t>直接</w:t>
      </w:r>
      <w:r>
        <w:rPr>
          <w:rFonts w:hint="default" w:ascii="Times New Roman" w:hAnsi="Times New Roman" w:cs="Times New Roman"/>
          <w:color w:val="000000" w:themeColor="text1"/>
          <w:highlight w:val="none"/>
          <w14:textFill>
            <w14:solidFill>
              <w14:schemeClr w14:val="tx1"/>
            </w14:solidFill>
          </w14:textFill>
        </w:rPr>
        <w:t>接触的材料，有多种材料时，抽取2种与食品接触面积较大的材料。材料样块在整机直接接触食品的部件上截取，或与其部件同材质、同生产商的原材料或外购外协件上截取。每批次产品截取材料样块材质种类及抽样数量见表1</w:t>
      </w:r>
      <w:r>
        <w:rPr>
          <w:rFonts w:hint="default" w:ascii="Times New Roman" w:hAnsi="Times New Roman" w:cs="Times New Roman"/>
          <w:color w:val="000000" w:themeColor="text1"/>
          <w:highlight w:val="none"/>
          <w14:textFill>
            <w14:solidFill>
              <w14:schemeClr w14:val="tx1"/>
            </w14:solidFill>
          </w14:textFill>
        </w:rPr>
        <w:t>。</w:t>
      </w:r>
    </w:p>
    <w:p>
      <w:pPr>
        <w:shd w:val="clear" w:color="auto" w:fill="FFFFFF"/>
        <w:adjustRightInd w:val="0"/>
        <w:snapToGrid w:val="0"/>
        <w:spacing w:line="440" w:lineRule="exact"/>
        <w:ind w:hanging="11"/>
        <w:jc w:val="center"/>
        <w:rPr>
          <w:rFonts w:hint="default" w:ascii="Times New Roman" w:hAnsi="Times New Roman" w:cs="Times New Roman"/>
          <w:color w:val="000000" w:themeColor="text1"/>
          <w:sz w:val="28"/>
          <w:szCs w:val="28"/>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表1 </w:t>
      </w:r>
      <w:bookmarkStart w:id="0" w:name="OLE_LINK5"/>
      <w:r>
        <w:rPr>
          <w:rFonts w:hint="default" w:ascii="Times New Roman" w:hAnsi="Times New Roman" w:cs="Times New Roman"/>
          <w:color w:val="000000" w:themeColor="text1"/>
          <w:highlight w:val="none"/>
          <w14:textFill>
            <w14:solidFill>
              <w14:schemeClr w14:val="tx1"/>
            </w14:solidFill>
          </w14:textFill>
        </w:rPr>
        <w:t>材料样块材质及抽样数量</w:t>
      </w:r>
      <w:bookmarkEnd w:id="0"/>
    </w:p>
    <w:tbl>
      <w:tblPr>
        <w:tblStyle w:val="23"/>
        <w:tblW w:w="909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3345"/>
        <w:gridCol w:w="1619"/>
        <w:gridCol w:w="16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894" w:type="dxa"/>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3345" w:type="dxa"/>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材料样块材质</w:t>
            </w:r>
          </w:p>
        </w:tc>
        <w:tc>
          <w:tcPr>
            <w:tcW w:w="1619" w:type="dxa"/>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抽样数量（组/每组表面积）</w:t>
            </w:r>
          </w:p>
        </w:tc>
        <w:tc>
          <w:tcPr>
            <w:tcW w:w="1619" w:type="dxa"/>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检样数量（组）</w:t>
            </w:r>
          </w:p>
        </w:tc>
        <w:tc>
          <w:tcPr>
            <w:tcW w:w="1621" w:type="dxa"/>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备样数量（组）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94"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w:t>
            </w:r>
          </w:p>
        </w:tc>
        <w:tc>
          <w:tcPr>
            <w:tcW w:w="3345"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vertAlign w:val="superscript"/>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金属材质</w:t>
            </w:r>
            <w:r>
              <w:rPr>
                <w:rFonts w:hint="default" w:ascii="Times New Roman" w:hAnsi="Times New Roman" w:cs="Times New Roman"/>
                <w:color w:val="000000" w:themeColor="text1"/>
                <w:highlight w:val="none"/>
                <w:vertAlign w:val="superscript"/>
                <w14:textFill>
                  <w14:solidFill>
                    <w14:schemeClr w14:val="tx1"/>
                  </w14:solidFill>
                </w14:textFill>
              </w:rPr>
              <w:t>a</w:t>
            </w:r>
          </w:p>
        </w:tc>
        <w:tc>
          <w:tcPr>
            <w:tcW w:w="1619"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6组/25cm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c>
          <w:tcPr>
            <w:tcW w:w="1621"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trPr>
        <w:tc>
          <w:tcPr>
            <w:tcW w:w="894"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w:t>
            </w:r>
          </w:p>
        </w:tc>
        <w:tc>
          <w:tcPr>
            <w:tcW w:w="3345"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塑料材质</w:t>
            </w:r>
          </w:p>
        </w:tc>
        <w:tc>
          <w:tcPr>
            <w:tcW w:w="1619"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14:textFill>
                  <w14:solidFill>
                    <w14:schemeClr w14:val="tx1"/>
                  </w14:solidFill>
                </w14:textFill>
              </w:rPr>
              <w:t>组/25cm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20</w:t>
            </w:r>
          </w:p>
        </w:tc>
        <w:tc>
          <w:tcPr>
            <w:tcW w:w="1621" w:type="dxa"/>
            <w:shd w:val="clear" w:color="auto" w:fill="FFFFFF"/>
            <w:vAlign w:val="center"/>
          </w:tcPr>
          <w:p>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c>
          <w:tcPr>
            <w:tcW w:w="3345"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橡胶材质</w:t>
            </w:r>
          </w:p>
        </w:tc>
        <w:tc>
          <w:tcPr>
            <w:tcW w:w="1619"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组/150cm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p>
        </w:tc>
        <w:tc>
          <w:tcPr>
            <w:tcW w:w="1621"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pPr>
              <w:shd w:val="clear" w:color="auto" w:fill="FFFFFF"/>
              <w:adjustRightInd w:val="0"/>
              <w:snapToGrid w:val="0"/>
              <w:jc w:val="center"/>
              <w:rPr>
                <w:rFonts w:hint="default" w:ascii="Times New Roman" w:hAnsi="Times New Roman" w:eastAsia="宋体" w:cs="Times New Roman"/>
                <w:color w:val="000000" w:themeColor="text1"/>
                <w:highlight w:val="none"/>
                <w:lang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p>
        </w:tc>
        <w:tc>
          <w:tcPr>
            <w:tcW w:w="3345" w:type="dxa"/>
            <w:shd w:val="clear" w:color="auto" w:fill="auto"/>
            <w:vAlign w:val="center"/>
          </w:tcPr>
          <w:p>
            <w:pPr>
              <w:shd w:val="clear" w:color="auto" w:fill="FFFFFF"/>
              <w:adjustRightInd w:val="0"/>
              <w:snapToGrid w:val="0"/>
              <w:jc w:val="center"/>
              <w:rPr>
                <w:rFonts w:hint="default" w:ascii="Times New Roman" w:hAnsi="Times New Roman" w:cs="Times New Roman"/>
                <w:color w:val="000000" w:themeColor="text1"/>
                <w:highlight w:val="none"/>
                <w:lang w:val="en-US"/>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tc>
        <w:tc>
          <w:tcPr>
            <w:tcW w:w="1619"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组/150cm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 xml:space="preserve"> </w:t>
            </w:r>
          </w:p>
        </w:tc>
        <w:tc>
          <w:tcPr>
            <w:tcW w:w="1621" w:type="dxa"/>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9098" w:type="dxa"/>
            <w:gridSpan w:val="5"/>
            <w:vAlign w:val="center"/>
          </w:tcPr>
          <w:p>
            <w:pPr>
              <w:shd w:val="clear" w:color="auto" w:fill="FFFFFF"/>
              <w:adjustRightInd w:val="0"/>
              <w:snapToGrid w:val="0"/>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r>
              <w:rPr>
                <w:rFonts w:hint="default" w:ascii="Times New Roman" w:hAnsi="Times New Roman" w:cs="Times New Roman"/>
                <w:color w:val="000000" w:themeColor="text1"/>
                <w:highlight w:val="none"/>
                <w14:textFill>
                  <w14:solidFill>
                    <w14:schemeClr w14:val="tx1"/>
                  </w14:solidFill>
                </w14:textFill>
              </w:rPr>
              <w:t xml:space="preserve">a </w:t>
            </w:r>
            <w:r>
              <w:rPr>
                <w:rFonts w:hint="default" w:ascii="Times New Roman" w:hAnsi="Times New Roman" w:cs="Times New Roman"/>
                <w:color w:val="000000" w:themeColor="text1"/>
                <w:highlight w:val="none"/>
                <w14:textFill>
                  <w14:solidFill>
                    <w14:schemeClr w14:val="tx1"/>
                  </w14:solidFill>
                </w14:textFill>
              </w:rPr>
              <w:t>涂（镀）层金属材料除外。</w:t>
            </w:r>
          </w:p>
        </w:tc>
      </w:tr>
    </w:tbl>
    <w:p>
      <w:pPr>
        <w:shd w:val="clear" w:color="auto" w:fill="FFFFFF"/>
        <w:snapToGrid w:val="0"/>
        <w:spacing w:line="440" w:lineRule="exact"/>
        <w:ind w:firstLine="360" w:firstLineChars="200"/>
        <w:rPr>
          <w:rFonts w:hint="default" w:ascii="Times New Roman" w:hAnsi="Times New Roman" w:cs="Times New Roman"/>
          <w:color w:val="000000" w:themeColor="text1"/>
          <w:sz w:val="18"/>
          <w:szCs w:val="18"/>
          <w:highlight w:val="none"/>
          <w14:textFill>
            <w14:solidFill>
              <w14:schemeClr w14:val="tx1"/>
            </w14:solidFill>
          </w14:textFill>
        </w:rPr>
      </w:pPr>
    </w:p>
    <w:p>
      <w:pPr>
        <w:shd w:val="clear" w:color="auto" w:fill="FFFFFF"/>
        <w:snapToGrid w:val="0"/>
        <w:spacing w:line="440" w:lineRule="exact"/>
        <w:rPr>
          <w:rFonts w:hint="default" w:ascii="Times New Roman" w:hAnsi="Times New Roman" w:eastAsia="黑体" w:cs="Times New Roman"/>
          <w:color w:val="000000" w:themeColor="text1"/>
          <w:highlight w:val="none"/>
          <w14:textFill>
            <w14:solidFill>
              <w14:schemeClr w14:val="tx1"/>
            </w14:solidFill>
          </w14:textFill>
        </w:rPr>
      </w:pPr>
      <w:r>
        <w:rPr>
          <w:rFonts w:hint="default" w:ascii="Times New Roman" w:hAnsi="Times New Roman" w:eastAsia="黑体" w:cs="Times New Roman"/>
          <w:color w:val="000000" w:themeColor="text1"/>
          <w:highlight w:val="none"/>
          <w14:textFill>
            <w14:solidFill>
              <w14:schemeClr w14:val="tx1"/>
            </w14:solidFill>
          </w14:textFill>
        </w:rPr>
        <w:t>2 检验依据</w:t>
      </w:r>
    </w:p>
    <w:p>
      <w:pPr>
        <w:adjustRightInd w:val="0"/>
        <w:snapToGrid w:val="0"/>
        <w:spacing w:before="156" w:beforeLines="50" w:line="360" w:lineRule="auto"/>
        <w:jc w:val="center"/>
        <w:rPr>
          <w:rFonts w:hint="default" w:ascii="Times New Roman" w:hAnsi="Times New Roman" w:cs="Times New Roman"/>
          <w:color w:val="000000" w:themeColor="text1"/>
          <w:highlight w:val="none"/>
          <w14:textFill>
            <w14:solidFill>
              <w14:schemeClr w14:val="tx1"/>
            </w14:solidFill>
          </w14:textFill>
        </w:rPr>
      </w:pPr>
      <w:bookmarkStart w:id="1" w:name="OLE_LINK1"/>
      <w:r>
        <w:rPr>
          <w:rFonts w:hint="default" w:ascii="Times New Roman" w:hAnsi="Times New Roman" w:cs="Times New Roman"/>
          <w:color w:val="000000" w:themeColor="text1"/>
          <w:highlight w:val="none"/>
          <w14:textFill>
            <w14:solidFill>
              <w14:schemeClr w14:val="tx1"/>
            </w14:solidFill>
          </w14:textFill>
        </w:rPr>
        <w:t>表2 工业电动食品加工设备</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4539"/>
        <w:gridCol w:w="3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blHeader/>
        </w:trPr>
        <w:tc>
          <w:tcPr>
            <w:tcW w:w="34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检验项目</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砷</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镉</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铅</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镍</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铬</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锑</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铝</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钴</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铜</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锰</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钼</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锡</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锌</w:t>
            </w:r>
          </w:p>
        </w:tc>
        <w:tc>
          <w:tcPr>
            <w:tcW w:w="2180"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2180" w:type="pct"/>
            <w:shd w:val="clear" w:color="auto" w:fill="FFFFFF"/>
            <w:vAlign w:val="center"/>
          </w:tcPr>
          <w:p>
            <w:pPr>
              <w:shd w:val="clear" w:color="auto" w:fill="FFFFFF"/>
              <w:adjustRightInd w:val="0"/>
              <w:snapToGrid w:val="0"/>
              <w:jc w:val="center"/>
              <w:textAlignment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脱色试验</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特定迁移总量（以己内酰胺计）（限PA材质）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氯乙烯特定迁移量（限PVC、PVDC材质）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1，1-二氯乙烯</w:t>
            </w:r>
            <w:r>
              <w:rPr>
                <w:rFonts w:hint="default" w:ascii="Times New Roman" w:hAnsi="Times New Roman" w:cs="Times New Roman"/>
                <w:color w:val="000000" w:themeColor="text1"/>
                <w:highlight w:val="none"/>
                <w14:textFill>
                  <w14:solidFill>
                    <w14:schemeClr w14:val="tx1"/>
                  </w14:solidFill>
                </w14:textFill>
              </w:rPr>
              <w:t>特定迁移量（限PVDC材质）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1，1-二氯乙烷</w:t>
            </w:r>
            <w:r>
              <w:rPr>
                <w:rFonts w:hint="default" w:ascii="Times New Roman" w:hAnsi="Times New Roman" w:cs="Times New Roman"/>
                <w:color w:val="000000" w:themeColor="text1"/>
                <w:highlight w:val="none"/>
                <w14:textFill>
                  <w14:solidFill>
                    <w14:schemeClr w14:val="tx1"/>
                  </w14:solidFill>
                </w14:textFill>
              </w:rPr>
              <w:t>特定迁移量（限PVC材质）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特定迁移总量（以对苯二甲酸计）（限PET、PBT材质）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auto"/>
              <w:adjustRightInd/>
              <w:snapToGrid/>
              <w:spacing w:line="300" w:lineRule="exact"/>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kern w:val="2"/>
                <w:sz w:val="21"/>
                <w:szCs w:val="21"/>
                <w:highlight w:val="none"/>
                <w14:textFill>
                  <w14:solidFill>
                    <w14:schemeClr w14:val="tx1"/>
                  </w14:solidFill>
                </w14:textFill>
              </w:rPr>
              <w:t>特定迁移总量（以</w:t>
            </w:r>
            <w:r>
              <w:rPr>
                <w:rFonts w:hint="default" w:ascii="Times New Roman" w:hAnsi="Times New Roman" w:cs="Times New Roman"/>
                <w:color w:val="000000" w:themeColor="text1"/>
                <w:kern w:val="2"/>
                <w:sz w:val="21"/>
                <w:szCs w:val="21"/>
                <w:highlight w:val="none"/>
                <w:lang w:val="en-US" w:eastAsia="zh-CN"/>
                <w14:textFill>
                  <w14:solidFill>
                    <w14:schemeClr w14:val="tx1"/>
                  </w14:solidFill>
                </w14:textFill>
              </w:rPr>
              <w:t>间</w:t>
            </w:r>
            <w:r>
              <w:rPr>
                <w:rFonts w:hint="default" w:ascii="Times New Roman" w:hAnsi="Times New Roman" w:cs="Times New Roman"/>
                <w:color w:val="000000" w:themeColor="text1"/>
                <w:kern w:val="2"/>
                <w:sz w:val="21"/>
                <w:szCs w:val="21"/>
                <w:highlight w:val="none"/>
                <w14:textFill>
                  <w14:solidFill>
                    <w14:schemeClr w14:val="tx1"/>
                  </w14:solidFill>
                </w14:textFill>
              </w:rPr>
              <w:t>苯二甲酸计）（限</w:t>
            </w:r>
            <w:r>
              <w:rPr>
                <w:rFonts w:hint="default" w:ascii="Times New Roman" w:hAnsi="Times New Roman" w:cs="Times New Roman"/>
                <w:color w:val="000000" w:themeColor="text1"/>
                <w:highlight w:val="none"/>
                <w14:textFill>
                  <w14:solidFill>
                    <w14:schemeClr w14:val="tx1"/>
                  </w14:solidFill>
                </w14:textFill>
              </w:rPr>
              <w:t>PET材</w:t>
            </w:r>
            <w:r>
              <w:rPr>
                <w:rFonts w:hint="default" w:ascii="Times New Roman" w:hAnsi="Times New Roman" w:cs="Times New Roman"/>
                <w:color w:val="000000" w:themeColor="text1"/>
                <w:kern w:val="2"/>
                <w:sz w:val="21"/>
                <w:szCs w:val="21"/>
                <w:highlight w:val="none"/>
                <w14:textFill>
                  <w14:solidFill>
                    <w14:schemeClr w14:val="tx1"/>
                  </w14:solidFill>
                </w14:textFill>
              </w:rPr>
              <w:t>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w:t>
            </w:r>
            <w:r>
              <w:rPr>
                <w:rFonts w:hint="default" w:ascii="Times New Roman" w:hAnsi="Times New Roman" w:cs="Times New Roman"/>
                <w:color w:val="000000" w:themeColor="text1"/>
                <w:highlight w:val="none"/>
                <w:lang w:val="en-US" w:eastAsia="zh-CN"/>
                <w14:textFill>
                  <w14:solidFill>
                    <w14:schemeClr w14:val="tx1"/>
                  </w14:solidFill>
                </w14:textFill>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特定迁移总量（以1,2</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乙二醇计）（限PET材质）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特定迁移总量（以1,4</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丁二醇计）（限PBT材质）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1,3</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丁二烯特定迁移量（限有丁二烯单体的聚合物）</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邻苯类增塑剂特定迁移量（限PVC材质）</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31604.30—20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N</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亚硝胺可生成物迁移总量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218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noWrap w:val="0"/>
            <w:vAlign w:val="center"/>
          </w:tcPr>
          <w:p>
            <w:pPr>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ind w:left="0" w:leftChars="0" w:firstLine="105" w:firstLineChars="50"/>
              <w:jc w:val="center"/>
              <w:textAlignment w:val="auto"/>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476" w:type="pct"/>
            <w:shd w:val="clear" w:color="auto" w:fill="FFFFFF"/>
            <w:noWrap w:val="0"/>
            <w:vAlign w:val="center"/>
          </w:tcPr>
          <w:p>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default" w:ascii="Times New Roman" w:hAnsi="Times New Roman" w:cs="Times New Roman"/>
                <w:color w:val="000000" w:themeColor="text1"/>
                <w:sz w:val="21"/>
                <w:szCs w:val="21"/>
                <w:highlight w:val="none"/>
                <w:lang w:eastAsia="zh-CN"/>
                <w14:textFill>
                  <w14:solidFill>
                    <w14:schemeClr w14:val="tx1"/>
                  </w14:solidFill>
                </w14:textFill>
              </w:rPr>
              <w:t>挥发性物质</w:t>
            </w:r>
          </w:p>
        </w:tc>
        <w:tc>
          <w:tcPr>
            <w:tcW w:w="2180" w:type="pct"/>
            <w:shd w:val="clear" w:color="auto" w:fill="FFFFFF"/>
            <w:noWrap w:val="0"/>
            <w:vAlign w:val="center"/>
          </w:tcPr>
          <w:p>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lang w:val="en-US"/>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GB 4806.1</w:t>
            </w:r>
            <w:r>
              <w:rPr>
                <w:rFonts w:hint="default" w:ascii="Times New Roman" w:hAnsi="Times New Roman" w:cs="Times New Roman"/>
                <w:color w:val="000000" w:themeColor="text1"/>
                <w:sz w:val="21"/>
                <w:szCs w:val="21"/>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1"/>
                <w:szCs w:val="21"/>
                <w:highlight w:val="none"/>
                <w14:textFill>
                  <w14:solidFill>
                    <w14:schemeClr w14:val="tx1"/>
                  </w14:solidFill>
                </w14:textFill>
              </w:rPr>
              <w:t>—202</w:t>
            </w:r>
            <w:r>
              <w:rPr>
                <w:rFonts w:hint="default" w:ascii="Times New Roman" w:hAnsi="Times New Roman" w:cs="Times New Roman"/>
                <w:color w:val="000000" w:themeColor="text1"/>
                <w:sz w:val="21"/>
                <w:szCs w:val="21"/>
                <w:highlight w:val="no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结构特性</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机械安全</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电气安全</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可洗净性</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在线清洗和在线消毒</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产品接触和非接触表面</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可拆卸性</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476" w:type="pct"/>
            <w:vAlign w:val="center"/>
          </w:tcPr>
          <w:p>
            <w:pPr>
              <w:widowControl/>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可检查性</w:t>
            </w:r>
          </w:p>
        </w:tc>
        <w:tc>
          <w:tcPr>
            <w:tcW w:w="2180" w:type="pct"/>
            <w:vAlign w:val="center"/>
          </w:tcPr>
          <w:p>
            <w:pPr>
              <w:snapToGrid w:val="0"/>
              <w:jc w:val="center"/>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16798—2023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5000" w:type="pct"/>
            <w:gridSpan w:val="3"/>
          </w:tcPr>
          <w:p>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p>
          <w:p>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1.本表的第1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13项适用于金属材质；</w:t>
            </w:r>
          </w:p>
          <w:p>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2.本表的第14</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w:t>
            </w:r>
            <w:r>
              <w:rPr>
                <w:rFonts w:hint="default" w:ascii="Times New Roman" w:hAnsi="Times New Roman" w:cs="Times New Roman"/>
                <w:color w:val="000000" w:themeColor="text1"/>
                <w:highlight w:val="none"/>
                <w:lang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项适用于塑料材质；</w:t>
            </w:r>
          </w:p>
          <w:p>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3.本表的第2</w:t>
            </w: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3</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项适用于橡胶材质；</w:t>
            </w:r>
          </w:p>
          <w:p>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34</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37</w:t>
            </w:r>
            <w:r>
              <w:rPr>
                <w:rFonts w:hint="default" w:ascii="Times New Roman" w:hAnsi="Times New Roman" w:cs="Times New Roman"/>
                <w:color w:val="000000" w:themeColor="text1"/>
                <w:highlight w:val="none"/>
                <w14:textFill>
                  <w14:solidFill>
                    <w14:schemeClr w14:val="tx1"/>
                  </w14:solidFill>
                </w14:textFill>
              </w:rPr>
              <w:t>项适用于</w:t>
            </w: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p>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5.本表的第18项仅适用于含有芳香族异氰酸酯和偶氮类着色剂等可能产生芳香族伯胺类物质的塑料材质；</w:t>
            </w:r>
          </w:p>
          <w:p>
            <w:pPr>
              <w:shd w:val="clear" w:color="auto" w:fill="FFFFFF"/>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default" w:ascii="Times New Roman" w:hAnsi="Times New Roman" w:cs="Times New Roman"/>
                <w:color w:val="000000" w:themeColor="text1"/>
                <w:highlight w:val="none"/>
                <w:lang w:val="en-US" w:eastAsia="zh-CN"/>
                <w14:textFill>
                  <w14:solidFill>
                    <w14:schemeClr w14:val="tx1"/>
                  </w14:solidFill>
                </w14:textFill>
              </w:rPr>
              <w:t>2</w:t>
            </w:r>
            <w:r>
              <w:rPr>
                <w:rFonts w:hint="default" w:ascii="Times New Roman" w:hAnsi="Times New Roman" w:cs="Times New Roman"/>
                <w:color w:val="000000" w:themeColor="text1"/>
                <w:highlight w:val="none"/>
                <w14:textFill>
                  <w14:solidFill>
                    <w14:schemeClr w14:val="tx1"/>
                  </w14:solidFill>
                </w14:textFill>
              </w:rPr>
              <w:t>项仅适用于含有胺类防老剂、次磺酰胺类硫化促进剂、偶氮类着色剂等可能产生芳香族伯胺的橡胶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pPr>
              <w:tabs>
                <w:tab w:val="left" w:pos="312"/>
              </w:tabs>
              <w:adjustRightInd w:val="0"/>
              <w:snapToGrid w:val="0"/>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7</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项仅适用于含有硫化促进剂等可能产生N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tc>
      </w:tr>
    </w:tbl>
    <w:p>
      <w:pPr>
        <w:snapToGrid w:val="0"/>
        <w:spacing w:before="156" w:beforeLines="50" w:line="360" w:lineRule="auto"/>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表3  商用电动食品加工设备</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4039"/>
        <w:gridCol w:w="4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343" w:type="pct"/>
            <w:vAlign w:val="center"/>
          </w:tcPr>
          <w:p>
            <w:pPr>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2203" w:type="pct"/>
            <w:vAlign w:val="center"/>
          </w:tcPr>
          <w:p>
            <w:pPr>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检验项目</w:t>
            </w:r>
          </w:p>
        </w:tc>
        <w:tc>
          <w:tcPr>
            <w:tcW w:w="2453" w:type="pct"/>
            <w:shd w:val="clear" w:color="auto" w:fill="FFFFFF"/>
            <w:vAlign w:val="center"/>
          </w:tcPr>
          <w:p>
            <w:pPr>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砷</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镉</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铅</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镍</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铬</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锑</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铝</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钴</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铜</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锰</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钼</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锡</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锌</w:t>
            </w:r>
          </w:p>
        </w:tc>
        <w:tc>
          <w:tcPr>
            <w:tcW w:w="245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2453" w:type="pct"/>
            <w:shd w:val="clear" w:color="auto" w:fill="FFFFFF"/>
            <w:vAlign w:val="center"/>
          </w:tcPr>
          <w:p>
            <w:pPr>
              <w:shd w:val="clear" w:color="auto" w:fill="FFFFFF"/>
              <w:adjustRightInd w:val="0"/>
              <w:snapToGrid w:val="0"/>
              <w:jc w:val="center"/>
              <w:textAlignment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脱色试验</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特定迁移总量（以己内酰胺计）（限PA材质）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氯乙烯特定迁移量（限PVC、PVDC材质）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1，1-二氯乙烯</w:t>
            </w:r>
            <w:r>
              <w:rPr>
                <w:rFonts w:hint="default" w:ascii="Times New Roman" w:hAnsi="Times New Roman" w:cs="Times New Roman"/>
                <w:color w:val="000000" w:themeColor="text1"/>
                <w:highlight w:val="none"/>
                <w14:textFill>
                  <w14:solidFill>
                    <w14:schemeClr w14:val="tx1"/>
                  </w14:solidFill>
                </w14:textFill>
              </w:rPr>
              <w:t>特定迁移量（限PVDC材质）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1，1-二氯乙烷</w:t>
            </w:r>
            <w:r>
              <w:rPr>
                <w:rFonts w:hint="default" w:ascii="Times New Roman" w:hAnsi="Times New Roman" w:cs="Times New Roman"/>
                <w:color w:val="000000" w:themeColor="text1"/>
                <w:highlight w:val="none"/>
                <w14:textFill>
                  <w14:solidFill>
                    <w14:schemeClr w14:val="tx1"/>
                  </w14:solidFill>
                </w14:textFill>
              </w:rPr>
              <w:t>特定迁移量（限PVC材质）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特定迁移总量（以对苯二甲酸计）（限PET、PBT材质）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w:t>
            </w:r>
            <w:r>
              <w:rPr>
                <w:rFonts w:hint="default" w:ascii="Times New Roman" w:hAnsi="Times New Roman" w:cs="Times New Roman"/>
                <w:color w:val="000000" w:themeColor="text1"/>
                <w:highlight w:val="none"/>
                <w:lang w:val="en-US" w:eastAsia="zh-CN"/>
                <w14:textFill>
                  <w14:solidFill>
                    <w14:schemeClr w14:val="tx1"/>
                  </w14:solidFill>
                </w14:textFill>
              </w:rPr>
              <w:t>间</w:t>
            </w:r>
            <w:r>
              <w:rPr>
                <w:rFonts w:hint="default" w:ascii="Times New Roman" w:hAnsi="Times New Roman" w:cs="Times New Roman"/>
                <w:color w:val="000000" w:themeColor="text1"/>
                <w:highlight w:val="none"/>
                <w14:textFill>
                  <w14:solidFill>
                    <w14:schemeClr w14:val="tx1"/>
                  </w14:solidFill>
                </w14:textFill>
              </w:rPr>
              <w:t>苯二甲酸计）（限PET材质）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w:t>
            </w:r>
            <w:r>
              <w:rPr>
                <w:rFonts w:hint="default" w:ascii="Times New Roman" w:hAnsi="Times New Roman" w:cs="Times New Roman"/>
                <w:color w:val="000000" w:themeColor="text1"/>
                <w:highlight w:val="none"/>
                <w:lang w:val="en-US" w:eastAsia="zh-CN"/>
                <w14:textFill>
                  <w14:solidFill>
                    <w14:schemeClr w14:val="tx1"/>
                  </w14:solidFill>
                </w14:textFill>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特定迁移总量（以1,2</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乙二醇计）（限PET材质）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特定迁移总量（以1,4</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丁二醇计）（限PBT材质）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1,3</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丁二烯特定迁移量（限有丁二烯单体的聚合物）</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邻苯类增塑剂特定迁移量（限PVC材质）</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31604.30—20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343" w:type="pct"/>
            <w:shd w:val="clear" w:color="auto" w:fill="FFFFFF"/>
            <w:vAlign w:val="center"/>
          </w:tcPr>
          <w:p>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20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N</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亚硝胺可生成物迁移总量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2453"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lang w:eastAsia="zh-CN"/>
                <w14:textFill>
                  <w14:solidFill>
                    <w14:schemeClr w14:val="tx1"/>
                  </w14:solidFill>
                </w14:textFill>
              </w:rPr>
              <w:t>挥发性物质</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GB 4806.1</w:t>
            </w:r>
            <w:r>
              <w:rPr>
                <w:rFonts w:hint="default" w:ascii="Times New Roman" w:hAnsi="Times New Roman" w:cs="Times New Roman"/>
                <w:color w:val="000000" w:themeColor="text1"/>
                <w:sz w:val="21"/>
                <w:szCs w:val="21"/>
                <w:highlight w:val="none"/>
                <w:lang w:val="en-US" w:eastAsia="zh-CN"/>
                <w14:textFill>
                  <w14:solidFill>
                    <w14:schemeClr w14:val="tx1"/>
                  </w14:solidFill>
                </w14:textFill>
              </w:rPr>
              <w:t>6</w:t>
            </w:r>
            <w:r>
              <w:rPr>
                <w:rFonts w:hint="default" w:ascii="Times New Roman" w:hAnsi="Times New Roman" w:eastAsia="宋体" w:cs="Times New Roman"/>
                <w:color w:val="000000" w:themeColor="text1"/>
                <w:sz w:val="21"/>
                <w:szCs w:val="21"/>
                <w:highlight w:val="none"/>
                <w14:textFill>
                  <w14:solidFill>
                    <w14:schemeClr w14:val="tx1"/>
                  </w14:solidFill>
                </w14:textFill>
              </w:rPr>
              <w:t>—202</w:t>
            </w:r>
            <w:r>
              <w:rPr>
                <w:rFonts w:hint="default" w:ascii="Times New Roman" w:hAnsi="Times New Roman" w:cs="Times New Roman"/>
                <w:color w:val="000000" w:themeColor="text1"/>
                <w:sz w:val="21"/>
                <w:szCs w:val="21"/>
                <w:highlight w:val="no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对触及带电部件的防护</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输入功率和电流</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工作温度下的泄漏电流和电气强度</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泄漏电流和电气强度</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非正常工作</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稳定性和机械危险</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机械强度</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结构</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内部布线</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spacing w:line="340" w:lineRule="exact"/>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电源连接和外部软线</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spacing w:line="340" w:lineRule="exact"/>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外部导线用接线端子</w:t>
            </w:r>
          </w:p>
          <w:p>
            <w:pPr>
              <w:pStyle w:val="1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14:textFill>
                  <w14:solidFill>
                    <w14:schemeClr w14:val="tx1"/>
                  </w14:solidFill>
                </w14:textFill>
              </w:rPr>
              <w:t>外部导体用接线端子</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spacing w:line="340" w:lineRule="exact"/>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接地措施</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spacing w:line="340" w:lineRule="exact"/>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pStyle w:val="1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203" w:type="pct"/>
            <w:vAlign w:val="center"/>
          </w:tcPr>
          <w:p>
            <w:pPr>
              <w:pStyle w:val="1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螺钉和连接</w:t>
            </w:r>
          </w:p>
        </w:tc>
        <w:tc>
          <w:tcPr>
            <w:tcW w:w="2453" w:type="pct"/>
            <w:shd w:val="clear" w:color="auto" w:fill="FFFFFF"/>
            <w:vAlign w:val="center"/>
          </w:tcPr>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pPr>
              <w:adjustRightInd w:val="0"/>
              <w:snapToGrid w:val="0"/>
              <w:spacing w:line="340" w:lineRule="exact"/>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p>
          <w:p>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1.本表的第1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13项适用于金属材质；</w:t>
            </w:r>
          </w:p>
          <w:p>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2.本表的第14</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w:t>
            </w:r>
            <w:r>
              <w:rPr>
                <w:rFonts w:hint="default" w:ascii="Times New Roman" w:hAnsi="Times New Roman" w:cs="Times New Roman"/>
                <w:color w:val="000000" w:themeColor="text1"/>
                <w:highlight w:val="none"/>
                <w:lang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项适用于塑料材质；</w:t>
            </w:r>
          </w:p>
          <w:p>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3.本表的第2</w:t>
            </w: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3</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项适用于橡胶材质；</w:t>
            </w:r>
          </w:p>
          <w:p>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34</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37</w:t>
            </w:r>
            <w:r>
              <w:rPr>
                <w:rFonts w:hint="default" w:ascii="Times New Roman" w:hAnsi="Times New Roman" w:cs="Times New Roman"/>
                <w:color w:val="000000" w:themeColor="text1"/>
                <w:highlight w:val="none"/>
                <w14:textFill>
                  <w14:solidFill>
                    <w14:schemeClr w14:val="tx1"/>
                  </w14:solidFill>
                </w14:textFill>
              </w:rPr>
              <w:t>项适用于</w:t>
            </w: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p>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5.本表的第18项仅适用于含有芳香族异氰酸酯和偶氮类着色剂等可能产生芳香族伯胺类物质的塑料材质；</w:t>
            </w:r>
          </w:p>
          <w:p>
            <w:pPr>
              <w:shd w:val="clear" w:color="auto" w:fill="FFFFFF"/>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default" w:ascii="Times New Roman" w:hAnsi="Times New Roman" w:cs="Times New Roman"/>
                <w:color w:val="000000" w:themeColor="text1"/>
                <w:highlight w:val="none"/>
                <w:lang w:val="en-US" w:eastAsia="zh-CN"/>
                <w14:textFill>
                  <w14:solidFill>
                    <w14:schemeClr w14:val="tx1"/>
                  </w14:solidFill>
                </w14:textFill>
              </w:rPr>
              <w:t>2</w:t>
            </w:r>
            <w:r>
              <w:rPr>
                <w:rFonts w:hint="default" w:ascii="Times New Roman" w:hAnsi="Times New Roman" w:cs="Times New Roman"/>
                <w:color w:val="000000" w:themeColor="text1"/>
                <w:highlight w:val="none"/>
                <w14:textFill>
                  <w14:solidFill>
                    <w14:schemeClr w14:val="tx1"/>
                  </w14:solidFill>
                </w14:textFill>
              </w:rPr>
              <w:t>项仅适用于含有胺类防老剂、次磺酰胺类硫化促进剂、偶氮类着色剂等可能产生芳香族伯胺的橡胶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7</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项仅适用于含有硫化促进剂等可能产生N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pP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42</w:t>
            </w:r>
            <w:r>
              <w:rPr>
                <w:rFonts w:hint="default" w:ascii="Times New Roman" w:hAnsi="Times New Roman" w:cs="Times New Roman"/>
                <w:color w:val="000000" w:themeColor="text1"/>
                <w:highlight w:val="none"/>
                <w14:textFill>
                  <w14:solidFill>
                    <w14:schemeClr w14:val="tx1"/>
                  </w14:solidFill>
                </w14:textFill>
              </w:rPr>
              <w:t>项不测GB 4706.1第19.11.4条试验；</w:t>
            </w:r>
          </w:p>
          <w:p>
            <w:pPr>
              <w:adjustRightInd w:val="0"/>
              <w:snapToGrid w:val="0"/>
              <w:spacing w:line="340" w:lineRule="exact"/>
              <w:jc w:val="left"/>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45</w:t>
            </w:r>
            <w:r>
              <w:rPr>
                <w:rFonts w:hint="default" w:ascii="Times New Roman" w:hAnsi="Times New Roman" w:cs="Times New Roman"/>
                <w:color w:val="000000" w:themeColor="text1"/>
                <w:highlight w:val="none"/>
                <w14:textFill>
                  <w14:solidFill>
                    <w14:schemeClr w14:val="tx1"/>
                  </w14:solidFill>
                </w14:textFill>
              </w:rPr>
              <w:t>项不测GB 4706.1第22.46条试验</w:t>
            </w:r>
            <w:r>
              <w:rPr>
                <w:rFonts w:hint="default" w:ascii="Times New Roman" w:hAnsi="Times New Roman" w:cs="Times New Roman"/>
                <w:color w:val="000000" w:themeColor="text1"/>
                <w:highlight w:val="none"/>
                <w:lang w:val="en-US" w:eastAsia="zh-CN"/>
                <w14:textFill>
                  <w14:solidFill>
                    <w14:schemeClr w14:val="tx1"/>
                  </w14:solidFill>
                </w14:textFill>
              </w:rPr>
              <w:t>。</w:t>
            </w:r>
          </w:p>
        </w:tc>
      </w:tr>
      <w:bookmarkEnd w:id="1"/>
    </w:tbl>
    <w:p>
      <w:pPr>
        <w:shd w:val="clear" w:color="auto" w:fill="FFFFFF"/>
        <w:adjustRightInd w:val="0"/>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bookmarkStart w:id="2" w:name="_Hlk40347690"/>
      <w:r>
        <w:rPr>
          <w:rFonts w:hint="default" w:ascii="Times New Roman" w:hAnsi="Times New Roman" w:cs="Times New Roman"/>
          <w:color w:val="000000" w:themeColor="text1"/>
          <w:highlight w:val="none"/>
          <w14:textFill>
            <w14:solidFill>
              <w14:schemeClr w14:val="tx1"/>
            </w14:solidFill>
          </w14:textFill>
        </w:rPr>
        <w:t>执行企业标准、团体标准、地方标准的产品，检验项目参照上述内容执行。</w:t>
      </w:r>
      <w:bookmarkEnd w:id="2"/>
    </w:p>
    <w:p>
      <w:pPr>
        <w:shd w:val="clear" w:color="auto" w:fill="FFFFFF"/>
        <w:snapToGrid w:val="0"/>
        <w:spacing w:line="440" w:lineRule="exact"/>
        <w:ind w:firstLine="359" w:firstLineChars="171"/>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pPr>
        <w:shd w:val="clear" w:color="auto" w:fill="FFFFFF"/>
        <w:snapToGrid w:val="0"/>
        <w:spacing w:line="440" w:lineRule="exact"/>
        <w:ind w:firstLine="359" w:firstLineChars="171"/>
        <w:rPr>
          <w:rFonts w:hint="default" w:ascii="Times New Roman" w:hAnsi="Times New Roman" w:cs="Times New Roman"/>
          <w:color w:val="000000" w:themeColor="text1"/>
          <w:highlight w:val="none"/>
          <w14:textFill>
            <w14:solidFill>
              <w14:schemeClr w14:val="tx1"/>
            </w14:solidFill>
          </w14:textFill>
        </w:rPr>
      </w:pPr>
    </w:p>
    <w:p>
      <w:pPr>
        <w:shd w:val="clear" w:color="auto" w:fill="FFFFFF"/>
        <w:snapToGrid w:val="0"/>
        <w:spacing w:line="440" w:lineRule="exact"/>
        <w:rPr>
          <w:rFonts w:hint="default" w:ascii="Times New Roman" w:hAnsi="Times New Roman" w:eastAsia="黑体" w:cs="Times New Roman"/>
          <w:color w:val="000000" w:themeColor="text1"/>
          <w:highlight w:val="none"/>
          <w14:textFill>
            <w14:solidFill>
              <w14:schemeClr w14:val="tx1"/>
            </w14:solidFill>
          </w14:textFill>
        </w:rPr>
      </w:pPr>
      <w:r>
        <w:rPr>
          <w:rFonts w:hint="default" w:ascii="Times New Roman" w:hAnsi="Times New Roman" w:eastAsia="黑体" w:cs="Times New Roman"/>
          <w:color w:val="000000" w:themeColor="text1"/>
          <w:highlight w:val="none"/>
          <w14:textFill>
            <w14:solidFill>
              <w14:schemeClr w14:val="tx1"/>
            </w14:solidFill>
          </w14:textFill>
        </w:rPr>
        <w:t>3 判定规则</w:t>
      </w:r>
    </w:p>
    <w:p>
      <w:pPr>
        <w:shd w:val="clear" w:color="auto" w:fill="FFFFFF"/>
        <w:snapToGrid w:val="0"/>
        <w:spacing w:line="440" w:lineRule="exac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3.1依据标准</w:t>
      </w:r>
    </w:p>
    <w:p>
      <w:pPr>
        <w:snapToGrid w:val="0"/>
        <w:spacing w:line="440" w:lineRule="exact"/>
        <w:ind w:firstLine="359" w:firstLineChars="171"/>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4706.1—2005</w:t>
      </w:r>
      <w:r>
        <w:rPr>
          <w:rFonts w:hint="default" w:ascii="Times New Roman" w:hAnsi="Times New Roman" w:cs="Times New Roman"/>
          <w:color w:val="000000" w:themeColor="text1"/>
          <w:kern w:val="0"/>
          <w:highlight w:val="none"/>
          <w14:textFill>
            <w14:solidFill>
              <w14:schemeClr w14:val="tx1"/>
            </w14:solidFill>
          </w14:textFill>
        </w:rPr>
        <w:t xml:space="preserve"> 家用和类似用途电器的安全</w:t>
      </w:r>
      <w:r>
        <w:rPr>
          <w:rFonts w:hint="default" w:ascii="Times New Roman" w:hAnsi="Times New Roman" w:cs="Times New Roman"/>
          <w:color w:val="000000" w:themeColor="text1"/>
          <w:kern w:val="0"/>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kern w:val="0"/>
          <w:highlight w:val="none"/>
          <w14:textFill>
            <w14:solidFill>
              <w14:schemeClr w14:val="tx1"/>
            </w14:solidFill>
          </w14:textFill>
        </w:rPr>
        <w:t>第</w:t>
      </w:r>
      <w:r>
        <w:rPr>
          <w:rFonts w:hint="default" w:ascii="Times New Roman" w:hAnsi="Times New Roman" w:cs="Times New Roman"/>
          <w:color w:val="000000" w:themeColor="text1"/>
          <w:kern w:val="0"/>
          <w:highlight w:val="none"/>
          <w14:textFill>
            <w14:solidFill>
              <w14:schemeClr w14:val="tx1"/>
            </w14:solidFill>
          </w14:textFill>
        </w:rPr>
        <w:t>1</w:t>
      </w:r>
      <w:r>
        <w:rPr>
          <w:rFonts w:hint="default" w:ascii="Times New Roman" w:hAnsi="Times New Roman" w:cs="Times New Roman"/>
          <w:color w:val="000000" w:themeColor="text1"/>
          <w:kern w:val="0"/>
          <w:highlight w:val="none"/>
          <w14:textFill>
            <w14:solidFill>
              <w14:schemeClr w14:val="tx1"/>
            </w14:solidFill>
          </w14:textFill>
        </w:rPr>
        <w:t>部分：通用要求</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 xml:space="preserve">2024 </w:t>
      </w:r>
      <w:r>
        <w:rPr>
          <w:rFonts w:hint="default" w:ascii="Times New Roman" w:hAnsi="Times New Roman" w:cs="Times New Roman"/>
          <w:color w:val="000000" w:themeColor="text1"/>
          <w:highlight w:val="none"/>
          <w14:textFill>
            <w14:solidFill>
              <w14:schemeClr w14:val="tx1"/>
            </w14:solidFill>
          </w14:textFill>
        </w:rPr>
        <w:t>家用和类似用途电器的安全 第1部分：通用要求</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4706.38—2008</w:t>
      </w:r>
      <w:r>
        <w:rPr>
          <w:rFonts w:hint="default" w:ascii="Times New Roman" w:hAnsi="Times New Roman" w:cs="Times New Roman"/>
          <w:color w:val="000000" w:themeColor="text1"/>
          <w:highlight w:val="none"/>
          <w14:textFill>
            <w14:solidFill>
              <w14:schemeClr w14:val="tx1"/>
            </w14:solidFill>
          </w14:textFill>
        </w:rPr>
        <w:t xml:space="preserve"> 家用和类似用途电器的安全</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商用电动饮食加工机械的特殊要求</w:t>
      </w:r>
    </w:p>
    <w:p>
      <w:pPr>
        <w:shd w:val="clear" w:color="auto" w:fill="FFFFFF"/>
        <w:snapToGrid w:val="0"/>
        <w:spacing w:line="440" w:lineRule="exact"/>
        <w:ind w:firstLine="336" w:firstLineChars="160"/>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4706.38</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 xml:space="preserve">2024 </w:t>
      </w:r>
      <w:r>
        <w:rPr>
          <w:rFonts w:hint="default" w:ascii="Times New Roman" w:hAnsi="Times New Roman" w:cs="Times New Roman"/>
          <w:color w:val="000000" w:themeColor="text1"/>
          <w:highlight w:val="none"/>
          <w14:textFill>
            <w14:solidFill>
              <w14:schemeClr w14:val="tx1"/>
            </w14:solidFill>
          </w14:textFill>
        </w:rPr>
        <w:t>家用和类似用途电器的安全 第 38 部分：商用电动饮食加工机械的特殊</w:t>
      </w:r>
      <w:r>
        <w:rPr>
          <w:rFonts w:hint="default" w:ascii="Times New Roman" w:hAnsi="Times New Roman" w:cs="Times New Roman"/>
          <w:color w:val="000000" w:themeColor="text1"/>
          <w:highlight w:val="none"/>
          <w:lang w:val="en-US" w:eastAsia="zh-CN"/>
          <w14:textFill>
            <w14:solidFill>
              <w14:schemeClr w14:val="tx1"/>
            </w14:solidFill>
          </w14:textFill>
        </w:rPr>
        <w:t>要求</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4806.7—2023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default" w:ascii="Times New Roman" w:hAnsi="Times New Roman" w:cs="Times New Roman"/>
          <w:color w:val="000000" w:themeColor="text1"/>
          <w:highlight w:val="none"/>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食品接触用塑料材料及制品</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4806.9—2023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default" w:ascii="Times New Roman" w:hAnsi="Times New Roman" w:cs="Times New Roman"/>
          <w:color w:val="000000" w:themeColor="text1"/>
          <w:highlight w:val="none"/>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食品接触用金属材料及制品</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 食品安全国家标准 食品接触用橡胶材料及制品</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default" w:ascii="Times New Roman" w:hAnsi="Times New Roman" w:cs="Times New Roman"/>
          <w:color w:val="000000" w:themeColor="text1"/>
          <w:highlight w:val="none"/>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食品接触用橡胶材料及制品</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 食品安全国家标准 食品接触用硅橡胶材料及制品</w:t>
      </w:r>
    </w:p>
    <w:p>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336" w:firstLineChars="16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9685—2016 食品安全国家标准 食品接触材料及制品用添加剂使用标准</w:t>
      </w:r>
    </w:p>
    <w:p>
      <w:pPr>
        <w:shd w:val="clear" w:color="auto" w:fill="FFFFFF"/>
        <w:snapToGrid w:val="0"/>
        <w:spacing w:line="440" w:lineRule="exact"/>
        <w:ind w:firstLine="336" w:firstLineChars="160"/>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 食品机械安全要求</w:t>
      </w:r>
    </w:p>
    <w:p>
      <w:pPr>
        <w:shd w:val="clear" w:color="auto" w:fill="FFFFFF"/>
        <w:snapToGrid w:val="0"/>
        <w:spacing w:line="440" w:lineRule="exact"/>
        <w:ind w:firstLine="336" w:firstLineChars="16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44246</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 xml:space="preserve">2024 </w:t>
      </w:r>
      <w:r>
        <w:rPr>
          <w:rFonts w:hint="default" w:ascii="Times New Roman" w:hAnsi="Times New Roman" w:cs="Times New Roman"/>
          <w:color w:val="000000" w:themeColor="text1"/>
          <w:highlight w:val="none"/>
          <w14:textFill>
            <w14:solidFill>
              <w14:schemeClr w14:val="tx1"/>
            </w14:solidFill>
          </w14:textFill>
        </w:rPr>
        <w:t>家用和类似用途电器、体育用品的电气部分及电玩具 安全技术规范</w:t>
      </w:r>
    </w:p>
    <w:p>
      <w:pPr>
        <w:shd w:val="clear" w:color="auto" w:fill="FFFFFF"/>
        <w:snapToGrid w:val="0"/>
        <w:spacing w:line="440" w:lineRule="exact"/>
        <w:ind w:firstLine="359" w:firstLineChars="171"/>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现行有效的企业标准、团体标准、地方标准及产品明示质量要求</w:t>
      </w:r>
    </w:p>
    <w:p>
      <w:pPr>
        <w:shd w:val="clear" w:color="auto" w:fill="FFFFFF"/>
        <w:snapToGrid w:val="0"/>
        <w:spacing w:line="440" w:lineRule="exac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3.2判定原则</w:t>
      </w:r>
    </w:p>
    <w:p>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经检验，检验项目全部合格，判定为被抽查产品未发现不合格；检验项目中任一项或一项以上不合格，判定为被抽查产品不合格。</w:t>
      </w:r>
    </w:p>
    <w:p>
      <w:pPr>
        <w:shd w:val="clear" w:color="auto" w:fill="FFFFFF"/>
        <w:snapToGrid w:val="0"/>
        <w:spacing w:line="440" w:lineRule="exact"/>
        <w:ind w:firstLine="417" w:firstLineChars="199"/>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若被检产品明示的质量要求高于本细则中检验项目依据的标准要求时，应按被检产品明示的质量要求判定。</w:t>
      </w:r>
    </w:p>
    <w:p>
      <w:pPr>
        <w:shd w:val="clear" w:color="auto" w:fill="FFFFFF"/>
        <w:snapToGrid w:val="0"/>
        <w:spacing w:line="440" w:lineRule="exact"/>
        <w:ind w:firstLine="417" w:firstLineChars="199"/>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若被检产品明示的质量要求低于本细则中检验项目依据的强制性标准要求时，应按照强制性标准要求判定。</w:t>
      </w:r>
    </w:p>
    <w:p>
      <w:pPr>
        <w:shd w:val="clear" w:color="auto" w:fill="FFFFFF"/>
        <w:snapToGrid w:val="0"/>
        <w:spacing w:line="440" w:lineRule="exact"/>
        <w:ind w:firstLine="417" w:firstLineChars="199"/>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若被检产品明示的质量要求低于或包含本细则中检验项目依据的推荐性标准要求时，应以被检产品明示的质量要求判定。</w:t>
      </w:r>
    </w:p>
    <w:p>
      <w:pPr>
        <w:shd w:val="clear" w:color="auto" w:fill="FFFFFF"/>
        <w:snapToGrid w:val="0"/>
        <w:spacing w:line="440" w:lineRule="exact"/>
        <w:ind w:firstLine="417" w:firstLineChars="199"/>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若被检产品明示的质量要求缺少本细则中检验项目依据的强制性标准要求时，应按照强制性标准要求判定。</w:t>
      </w:r>
    </w:p>
    <w:p>
      <w:pPr>
        <w:shd w:val="clear" w:color="auto" w:fill="FFFFFF"/>
        <w:snapToGrid w:val="0"/>
        <w:spacing w:line="440" w:lineRule="exact"/>
        <w:ind w:firstLine="417" w:firstLineChars="199"/>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若被检产品明示的质量要求缺少本细则中检验项目依据的推荐性标准要求时，该项目不参与判定。</w:t>
      </w:r>
    </w:p>
    <w:p>
      <w:pPr>
        <w:shd w:val="clear" w:color="auto" w:fill="FFFFFF"/>
        <w:snapToGrid w:val="0"/>
        <w:spacing w:line="440" w:lineRule="exact"/>
        <w:ind w:firstLine="417" w:firstLineChars="199"/>
        <w:rPr>
          <w:rFonts w:hint="default" w:ascii="Times New Roman" w:hAnsi="Times New Roman" w:cs="Times New Roman"/>
          <w:color w:val="000000" w:themeColor="text1"/>
          <w:highlight w:val="none"/>
          <w14:textFill>
            <w14:solidFill>
              <w14:schemeClr w14:val="tx1"/>
            </w14:solidFill>
          </w14:textFill>
        </w:rPr>
      </w:pPr>
    </w:p>
    <w:p>
      <w:pPr>
        <w:shd w:val="clear" w:color="auto" w:fill="FFFFFF"/>
        <w:snapToGrid w:val="0"/>
        <w:spacing w:line="440" w:lineRule="exact"/>
        <w:rPr>
          <w:rFonts w:hint="default" w:ascii="Times New Roman" w:hAnsi="Times New Roman" w:eastAsia="黑体" w:cs="Times New Roman"/>
          <w:color w:val="000000" w:themeColor="text1"/>
          <w:highlight w:val="none"/>
          <w14:textFill>
            <w14:solidFill>
              <w14:schemeClr w14:val="tx1"/>
            </w14:solidFill>
          </w14:textFill>
        </w:rPr>
      </w:pPr>
      <w:r>
        <w:rPr>
          <w:rFonts w:hint="default" w:ascii="Times New Roman" w:hAnsi="Times New Roman" w:eastAsia="黑体" w:cs="Times New Roman"/>
          <w:color w:val="000000" w:themeColor="text1"/>
          <w:highlight w:val="none"/>
          <w14:textFill>
            <w14:solidFill>
              <w14:schemeClr w14:val="tx1"/>
            </w14:solidFill>
          </w14:textFill>
        </w:rPr>
        <w:t>4 附则</w:t>
      </w:r>
      <w:bookmarkStart w:id="3" w:name="_GoBack"/>
      <w:bookmarkEnd w:id="3"/>
    </w:p>
    <w:p>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本细则代替</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市场监管总局关于发布电动平衡车等136种产品质量监督抽查实施细则的公告</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w:t>
      </w:r>
      <w:r>
        <w:rPr>
          <w:rFonts w:hint="default" w:ascii="Times New Roman" w:hAnsi="Times New Roman" w:cs="Times New Roman"/>
          <w:color w:val="000000" w:themeColor="text1"/>
          <w:highlight w:val="none"/>
          <w14:textFill>
            <w14:solidFill>
              <w14:schemeClr w14:val="tx1"/>
            </w14:solidFill>
          </w14:textFill>
        </w:rPr>
        <w:t>5</w:t>
      </w:r>
      <w:r>
        <w:rPr>
          <w:rFonts w:hint="default" w:ascii="Times New Roman" w:hAnsi="Times New Roman" w:cs="Times New Roman"/>
          <w:color w:val="000000" w:themeColor="text1"/>
          <w:highlight w:val="none"/>
          <w14:textFill>
            <w14:solidFill>
              <w14:schemeClr w14:val="tx1"/>
            </w14:solidFill>
          </w14:textFill>
        </w:rPr>
        <w:t>年第20号）中的《工业和商用电动食品加工设备产品质量监督抽查实施细则（2025年版）》。</w:t>
      </w: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cs="宋体"/>
        <w:sz w:val="21"/>
        <w:szCs w:val="21"/>
      </w:rPr>
    </w:pPr>
    <w:r>
      <w:rPr>
        <w:rFonts w:ascii="宋体" w:hAnsi="宋体" w:cs="宋体"/>
        <w:sz w:val="21"/>
        <w:szCs w:val="21"/>
        <w:lang w:val="zh-CN"/>
      </w:rPr>
      <w:fldChar w:fldCharType="begin"/>
    </w:r>
    <w:r>
      <w:rPr>
        <w:rFonts w:ascii="宋体" w:hAnsi="宋体" w:cs="宋体"/>
        <w:sz w:val="21"/>
        <w:szCs w:val="21"/>
        <w:lang w:val="zh-CN"/>
      </w:rPr>
      <w:instrText xml:space="preserve"> PAGE   \* MERGEFORMAT </w:instrText>
    </w:r>
    <w:r>
      <w:rPr>
        <w:rFonts w:ascii="宋体" w:hAnsi="宋体" w:cs="宋体"/>
        <w:sz w:val="21"/>
        <w:szCs w:val="21"/>
        <w:lang w:val="zh-CN"/>
      </w:rPr>
      <w:fldChar w:fldCharType="separate"/>
    </w:r>
    <w:r>
      <w:rPr>
        <w:rFonts w:ascii="宋体" w:hAnsi="宋体" w:cs="宋体"/>
        <w:sz w:val="21"/>
        <w:szCs w:val="21"/>
      </w:rPr>
      <w:t>7</w:t>
    </w:r>
    <w:r>
      <w:rPr>
        <w:rFonts w:ascii="宋体" w:hAnsi="宋体" w:cs="宋体"/>
        <w:sz w:val="21"/>
        <w:szCs w:val="21"/>
        <w:lang w:val="zh-CN"/>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FD616"/>
    <w:multiLevelType w:val="singleLevel"/>
    <w:tmpl w:val="ACCFD616"/>
    <w:lvl w:ilvl="0" w:tentative="0">
      <w:start w:val="1"/>
      <w:numFmt w:val="decimal"/>
      <w:lvlText w:val="%1"/>
      <w:lvlJc w:val="left"/>
      <w:pPr>
        <w:tabs>
          <w:tab w:val="left" w:pos="420"/>
        </w:tabs>
        <w:ind w:left="425" w:hanging="425"/>
      </w:pPr>
      <w:rPr>
        <w:rFonts w:hint="default"/>
      </w:rPr>
    </w:lvl>
  </w:abstractNum>
  <w:abstractNum w:abstractNumId="1">
    <w:nsid w:val="0EF87E23"/>
    <w:multiLevelType w:val="singleLevel"/>
    <w:tmpl w:val="0EF87E23"/>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lNGU1N2QyMmFiNjJkM2MyMjE3YTViYzNkZjdlMzQifQ=="/>
  </w:docVars>
  <w:rsids>
    <w:rsidRoot w:val="00172A27"/>
    <w:rsid w:val="00042073"/>
    <w:rsid w:val="00044395"/>
    <w:rsid w:val="00051A44"/>
    <w:rsid w:val="00067341"/>
    <w:rsid w:val="00075F11"/>
    <w:rsid w:val="00081CBD"/>
    <w:rsid w:val="00094077"/>
    <w:rsid w:val="000976DE"/>
    <w:rsid w:val="000B4710"/>
    <w:rsid w:val="000D3400"/>
    <w:rsid w:val="000D5D4E"/>
    <w:rsid w:val="000E6F29"/>
    <w:rsid w:val="000F03DF"/>
    <w:rsid w:val="000F3729"/>
    <w:rsid w:val="0014120D"/>
    <w:rsid w:val="00145507"/>
    <w:rsid w:val="0015727A"/>
    <w:rsid w:val="00164FF8"/>
    <w:rsid w:val="00166BAD"/>
    <w:rsid w:val="001710C3"/>
    <w:rsid w:val="00172A27"/>
    <w:rsid w:val="001809DD"/>
    <w:rsid w:val="00194335"/>
    <w:rsid w:val="001947D2"/>
    <w:rsid w:val="001B6212"/>
    <w:rsid w:val="001C1BB2"/>
    <w:rsid w:val="001E2620"/>
    <w:rsid w:val="001E5FEE"/>
    <w:rsid w:val="002209DD"/>
    <w:rsid w:val="002301B8"/>
    <w:rsid w:val="00235A62"/>
    <w:rsid w:val="0025350A"/>
    <w:rsid w:val="00253624"/>
    <w:rsid w:val="002619B0"/>
    <w:rsid w:val="002623DD"/>
    <w:rsid w:val="0027151F"/>
    <w:rsid w:val="00276354"/>
    <w:rsid w:val="002A5458"/>
    <w:rsid w:val="002B5408"/>
    <w:rsid w:val="002D3385"/>
    <w:rsid w:val="002D4076"/>
    <w:rsid w:val="002D7F8A"/>
    <w:rsid w:val="002E0D1D"/>
    <w:rsid w:val="002E792F"/>
    <w:rsid w:val="00301DB4"/>
    <w:rsid w:val="003203A3"/>
    <w:rsid w:val="0034769B"/>
    <w:rsid w:val="00357AC7"/>
    <w:rsid w:val="003640ED"/>
    <w:rsid w:val="00397A7E"/>
    <w:rsid w:val="003C388C"/>
    <w:rsid w:val="003E61BF"/>
    <w:rsid w:val="003F553F"/>
    <w:rsid w:val="004206DA"/>
    <w:rsid w:val="004437D9"/>
    <w:rsid w:val="00445E86"/>
    <w:rsid w:val="0046458B"/>
    <w:rsid w:val="00474E04"/>
    <w:rsid w:val="00496465"/>
    <w:rsid w:val="004A5A93"/>
    <w:rsid w:val="004A64B5"/>
    <w:rsid w:val="004C405D"/>
    <w:rsid w:val="004C6EFE"/>
    <w:rsid w:val="004C761F"/>
    <w:rsid w:val="004D0C5A"/>
    <w:rsid w:val="004E1396"/>
    <w:rsid w:val="004F555A"/>
    <w:rsid w:val="0051162F"/>
    <w:rsid w:val="00541BF7"/>
    <w:rsid w:val="0055412C"/>
    <w:rsid w:val="00563EBC"/>
    <w:rsid w:val="005711E6"/>
    <w:rsid w:val="00597FA2"/>
    <w:rsid w:val="005B0B4F"/>
    <w:rsid w:val="005C2486"/>
    <w:rsid w:val="005E5630"/>
    <w:rsid w:val="005F353F"/>
    <w:rsid w:val="006056EB"/>
    <w:rsid w:val="0061086F"/>
    <w:rsid w:val="00662229"/>
    <w:rsid w:val="006713D6"/>
    <w:rsid w:val="00692B5B"/>
    <w:rsid w:val="00693B8F"/>
    <w:rsid w:val="006971BF"/>
    <w:rsid w:val="006A4B8F"/>
    <w:rsid w:val="006A52F8"/>
    <w:rsid w:val="006F0971"/>
    <w:rsid w:val="00715923"/>
    <w:rsid w:val="0072334C"/>
    <w:rsid w:val="007235B4"/>
    <w:rsid w:val="007408F6"/>
    <w:rsid w:val="007652A4"/>
    <w:rsid w:val="00787348"/>
    <w:rsid w:val="007A39F0"/>
    <w:rsid w:val="007B5BD5"/>
    <w:rsid w:val="007C1ED2"/>
    <w:rsid w:val="007C60F1"/>
    <w:rsid w:val="007E1E99"/>
    <w:rsid w:val="007E6900"/>
    <w:rsid w:val="007F047E"/>
    <w:rsid w:val="00822D40"/>
    <w:rsid w:val="008645FB"/>
    <w:rsid w:val="008751EE"/>
    <w:rsid w:val="008839CD"/>
    <w:rsid w:val="00895BEA"/>
    <w:rsid w:val="008A3497"/>
    <w:rsid w:val="008B2694"/>
    <w:rsid w:val="00902779"/>
    <w:rsid w:val="009100B4"/>
    <w:rsid w:val="009121C9"/>
    <w:rsid w:val="00917A54"/>
    <w:rsid w:val="00990873"/>
    <w:rsid w:val="009A6948"/>
    <w:rsid w:val="009E1BB1"/>
    <w:rsid w:val="009F14C1"/>
    <w:rsid w:val="009F7DE3"/>
    <w:rsid w:val="00A43553"/>
    <w:rsid w:val="00A52698"/>
    <w:rsid w:val="00A646E6"/>
    <w:rsid w:val="00A70ED6"/>
    <w:rsid w:val="00A714C4"/>
    <w:rsid w:val="00A81A11"/>
    <w:rsid w:val="00A96746"/>
    <w:rsid w:val="00A97D0B"/>
    <w:rsid w:val="00AB406F"/>
    <w:rsid w:val="00AB5364"/>
    <w:rsid w:val="00AD1F0D"/>
    <w:rsid w:val="00AE5CA5"/>
    <w:rsid w:val="00B00A02"/>
    <w:rsid w:val="00B11BDC"/>
    <w:rsid w:val="00B21814"/>
    <w:rsid w:val="00B501D0"/>
    <w:rsid w:val="00B71C88"/>
    <w:rsid w:val="00B80796"/>
    <w:rsid w:val="00B90291"/>
    <w:rsid w:val="00BA3F4E"/>
    <w:rsid w:val="00BA571D"/>
    <w:rsid w:val="00BA612B"/>
    <w:rsid w:val="00BB6A5D"/>
    <w:rsid w:val="00BC6A0A"/>
    <w:rsid w:val="00BD119D"/>
    <w:rsid w:val="00BD1FD8"/>
    <w:rsid w:val="00C116DD"/>
    <w:rsid w:val="00C22C50"/>
    <w:rsid w:val="00C26074"/>
    <w:rsid w:val="00C61942"/>
    <w:rsid w:val="00C66601"/>
    <w:rsid w:val="00C83B0A"/>
    <w:rsid w:val="00C94B32"/>
    <w:rsid w:val="00CA078C"/>
    <w:rsid w:val="00CC4151"/>
    <w:rsid w:val="00CD1818"/>
    <w:rsid w:val="00CE1E0C"/>
    <w:rsid w:val="00CE277E"/>
    <w:rsid w:val="00CE2813"/>
    <w:rsid w:val="00D01A6A"/>
    <w:rsid w:val="00D02FE3"/>
    <w:rsid w:val="00D1749D"/>
    <w:rsid w:val="00D56867"/>
    <w:rsid w:val="00DB3253"/>
    <w:rsid w:val="00DE52A3"/>
    <w:rsid w:val="00DE59CE"/>
    <w:rsid w:val="00E02A7F"/>
    <w:rsid w:val="00E07880"/>
    <w:rsid w:val="00E207FA"/>
    <w:rsid w:val="00E60E75"/>
    <w:rsid w:val="00E65A83"/>
    <w:rsid w:val="00E72135"/>
    <w:rsid w:val="00E722A0"/>
    <w:rsid w:val="00E75D62"/>
    <w:rsid w:val="00E76709"/>
    <w:rsid w:val="00E76F36"/>
    <w:rsid w:val="00E802D9"/>
    <w:rsid w:val="00E82621"/>
    <w:rsid w:val="00EA0D91"/>
    <w:rsid w:val="00ED4B24"/>
    <w:rsid w:val="00F110BB"/>
    <w:rsid w:val="00F17854"/>
    <w:rsid w:val="00F36E11"/>
    <w:rsid w:val="00F61C45"/>
    <w:rsid w:val="00F743C9"/>
    <w:rsid w:val="00F77C9A"/>
    <w:rsid w:val="00F824D9"/>
    <w:rsid w:val="00F95289"/>
    <w:rsid w:val="00F954E2"/>
    <w:rsid w:val="00FA2CA5"/>
    <w:rsid w:val="00FB576C"/>
    <w:rsid w:val="00FD2AA6"/>
    <w:rsid w:val="00FD6AFF"/>
    <w:rsid w:val="00FE7E8A"/>
    <w:rsid w:val="019673D0"/>
    <w:rsid w:val="01EA679F"/>
    <w:rsid w:val="021A539F"/>
    <w:rsid w:val="024206BF"/>
    <w:rsid w:val="03791753"/>
    <w:rsid w:val="03BA4D6E"/>
    <w:rsid w:val="03CE6A70"/>
    <w:rsid w:val="04B07579"/>
    <w:rsid w:val="053D0049"/>
    <w:rsid w:val="05747A8D"/>
    <w:rsid w:val="05C607A0"/>
    <w:rsid w:val="06084C15"/>
    <w:rsid w:val="066F0785"/>
    <w:rsid w:val="071C7DE1"/>
    <w:rsid w:val="07222102"/>
    <w:rsid w:val="08205941"/>
    <w:rsid w:val="099A4AC1"/>
    <w:rsid w:val="0A4F2875"/>
    <w:rsid w:val="0A610E59"/>
    <w:rsid w:val="0A822F96"/>
    <w:rsid w:val="0AE9282D"/>
    <w:rsid w:val="0B68030A"/>
    <w:rsid w:val="0B866608"/>
    <w:rsid w:val="0B8946BE"/>
    <w:rsid w:val="0BB914E6"/>
    <w:rsid w:val="0CE97FBB"/>
    <w:rsid w:val="0DB75190"/>
    <w:rsid w:val="0EC264DD"/>
    <w:rsid w:val="10963D8A"/>
    <w:rsid w:val="111B448A"/>
    <w:rsid w:val="113A02B9"/>
    <w:rsid w:val="117741FA"/>
    <w:rsid w:val="12A53091"/>
    <w:rsid w:val="13A20852"/>
    <w:rsid w:val="13EB723F"/>
    <w:rsid w:val="141A5CA4"/>
    <w:rsid w:val="14DD3F69"/>
    <w:rsid w:val="161377E5"/>
    <w:rsid w:val="161727D5"/>
    <w:rsid w:val="16854612"/>
    <w:rsid w:val="17294450"/>
    <w:rsid w:val="180D5EF9"/>
    <w:rsid w:val="1B656D35"/>
    <w:rsid w:val="1BAE3469"/>
    <w:rsid w:val="1D0C7F3F"/>
    <w:rsid w:val="1D531F69"/>
    <w:rsid w:val="1D573933"/>
    <w:rsid w:val="1ED61488"/>
    <w:rsid w:val="1F9E4E82"/>
    <w:rsid w:val="20AF0142"/>
    <w:rsid w:val="215C64E4"/>
    <w:rsid w:val="21B20C11"/>
    <w:rsid w:val="21FA7AAB"/>
    <w:rsid w:val="22344960"/>
    <w:rsid w:val="23384708"/>
    <w:rsid w:val="23B213C1"/>
    <w:rsid w:val="23D133F7"/>
    <w:rsid w:val="24012004"/>
    <w:rsid w:val="247E5DDB"/>
    <w:rsid w:val="24855D52"/>
    <w:rsid w:val="25180851"/>
    <w:rsid w:val="254259F1"/>
    <w:rsid w:val="25744FE5"/>
    <w:rsid w:val="26497204"/>
    <w:rsid w:val="27081C70"/>
    <w:rsid w:val="27457A1B"/>
    <w:rsid w:val="275846D3"/>
    <w:rsid w:val="27665F63"/>
    <w:rsid w:val="27C32548"/>
    <w:rsid w:val="29122F96"/>
    <w:rsid w:val="29722AF0"/>
    <w:rsid w:val="2A524FC5"/>
    <w:rsid w:val="2AEF6C27"/>
    <w:rsid w:val="2C0311EC"/>
    <w:rsid w:val="2E253F20"/>
    <w:rsid w:val="30D84AC5"/>
    <w:rsid w:val="314B12AF"/>
    <w:rsid w:val="316C6B14"/>
    <w:rsid w:val="31CC4642"/>
    <w:rsid w:val="33686F6B"/>
    <w:rsid w:val="33D6643F"/>
    <w:rsid w:val="34670FD0"/>
    <w:rsid w:val="34BE237D"/>
    <w:rsid w:val="350265EE"/>
    <w:rsid w:val="36070F14"/>
    <w:rsid w:val="364A0BAA"/>
    <w:rsid w:val="36B23B4B"/>
    <w:rsid w:val="37083255"/>
    <w:rsid w:val="386B4E07"/>
    <w:rsid w:val="38C86BB4"/>
    <w:rsid w:val="38FB04E4"/>
    <w:rsid w:val="39157076"/>
    <w:rsid w:val="39C63990"/>
    <w:rsid w:val="3A15186B"/>
    <w:rsid w:val="3A5B4FF5"/>
    <w:rsid w:val="3AE8273F"/>
    <w:rsid w:val="3B365BA1"/>
    <w:rsid w:val="3C10039A"/>
    <w:rsid w:val="3D453E2E"/>
    <w:rsid w:val="3D4A2BD7"/>
    <w:rsid w:val="3DF9513C"/>
    <w:rsid w:val="3FD44BBA"/>
    <w:rsid w:val="40662D4A"/>
    <w:rsid w:val="408D676A"/>
    <w:rsid w:val="40D62F6B"/>
    <w:rsid w:val="41395AA3"/>
    <w:rsid w:val="41C757A4"/>
    <w:rsid w:val="423F03A3"/>
    <w:rsid w:val="428039BE"/>
    <w:rsid w:val="4497659C"/>
    <w:rsid w:val="449E5F74"/>
    <w:rsid w:val="451E7EF2"/>
    <w:rsid w:val="483B0983"/>
    <w:rsid w:val="490B241B"/>
    <w:rsid w:val="49344D5C"/>
    <w:rsid w:val="494C5E35"/>
    <w:rsid w:val="4A6B68BB"/>
    <w:rsid w:val="4AAA6299"/>
    <w:rsid w:val="4AEF5300"/>
    <w:rsid w:val="4C703137"/>
    <w:rsid w:val="4CD61B36"/>
    <w:rsid w:val="4D375535"/>
    <w:rsid w:val="4D834F67"/>
    <w:rsid w:val="51D11D27"/>
    <w:rsid w:val="535470B3"/>
    <w:rsid w:val="53797028"/>
    <w:rsid w:val="547F3EAC"/>
    <w:rsid w:val="55684751"/>
    <w:rsid w:val="568C650F"/>
    <w:rsid w:val="56A76138"/>
    <w:rsid w:val="56F24C1A"/>
    <w:rsid w:val="573C10CE"/>
    <w:rsid w:val="57B570EE"/>
    <w:rsid w:val="588C5EDE"/>
    <w:rsid w:val="59281352"/>
    <w:rsid w:val="595B0B5D"/>
    <w:rsid w:val="5C1B28C7"/>
    <w:rsid w:val="5C2504EB"/>
    <w:rsid w:val="5C3B3E3D"/>
    <w:rsid w:val="5D6A399D"/>
    <w:rsid w:val="5D8A1CD5"/>
    <w:rsid w:val="5E231CD6"/>
    <w:rsid w:val="5EEA4E9F"/>
    <w:rsid w:val="5FD81B3C"/>
    <w:rsid w:val="60B3657D"/>
    <w:rsid w:val="60E96514"/>
    <w:rsid w:val="61D35A8E"/>
    <w:rsid w:val="6454481E"/>
    <w:rsid w:val="64D52736"/>
    <w:rsid w:val="65640114"/>
    <w:rsid w:val="65E12D35"/>
    <w:rsid w:val="671160F8"/>
    <w:rsid w:val="677A59E7"/>
    <w:rsid w:val="67AF26CF"/>
    <w:rsid w:val="691D25F0"/>
    <w:rsid w:val="699543B0"/>
    <w:rsid w:val="6A4470E3"/>
    <w:rsid w:val="6BCA4C90"/>
    <w:rsid w:val="6C8C3692"/>
    <w:rsid w:val="6CB44683"/>
    <w:rsid w:val="6CC22541"/>
    <w:rsid w:val="6D31534D"/>
    <w:rsid w:val="6E69606C"/>
    <w:rsid w:val="6EF82470"/>
    <w:rsid w:val="708A15C7"/>
    <w:rsid w:val="70903301"/>
    <w:rsid w:val="710B6BAC"/>
    <w:rsid w:val="711C0DFD"/>
    <w:rsid w:val="7174464B"/>
    <w:rsid w:val="725F1C95"/>
    <w:rsid w:val="72CE1DCA"/>
    <w:rsid w:val="73B307DA"/>
    <w:rsid w:val="73D8660B"/>
    <w:rsid w:val="7522622B"/>
    <w:rsid w:val="756B4C9A"/>
    <w:rsid w:val="75B74C0D"/>
    <w:rsid w:val="75CE6CA5"/>
    <w:rsid w:val="75ED062E"/>
    <w:rsid w:val="7628738F"/>
    <w:rsid w:val="77A613DD"/>
    <w:rsid w:val="78646FCD"/>
    <w:rsid w:val="78AC0A2A"/>
    <w:rsid w:val="79062F75"/>
    <w:rsid w:val="7AF647F1"/>
    <w:rsid w:val="7B6806BB"/>
    <w:rsid w:val="7B943B13"/>
    <w:rsid w:val="7BF800BD"/>
    <w:rsid w:val="7C1B1F9A"/>
    <w:rsid w:val="7CFE5461"/>
    <w:rsid w:val="7D496CC6"/>
    <w:rsid w:val="7E9A1E77"/>
    <w:rsid w:val="7F057265"/>
    <w:rsid w:val="7FE9630A"/>
    <w:rsid w:val="93AA1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99"/>
    <w:pPr>
      <w:ind w:firstLine="600" w:firstLineChars="200"/>
    </w:pPr>
    <w:rPr>
      <w:rFonts w:eastAsia="仿宋_GB2312"/>
      <w:sz w:val="24"/>
      <w:szCs w:val="24"/>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style>
  <w:style w:type="character" w:styleId="9">
    <w:name w:val="Hyperlink"/>
    <w:basedOn w:val="7"/>
    <w:unhideWhenUsed/>
    <w:qFormat/>
    <w:uiPriority w:val="99"/>
    <w:rPr>
      <w:color w:val="0000FF"/>
      <w:u w:val="single"/>
    </w:rPr>
  </w:style>
  <w:style w:type="character" w:customStyle="1" w:styleId="10">
    <w:name w:val="正文文本缩进 字符1"/>
    <w:link w:val="2"/>
    <w:qFormat/>
    <w:locked/>
    <w:uiPriority w:val="99"/>
    <w:rPr>
      <w:rFonts w:eastAsia="仿宋_GB2312"/>
      <w:kern w:val="2"/>
      <w:sz w:val="24"/>
      <w:szCs w:val="24"/>
    </w:rPr>
  </w:style>
  <w:style w:type="character" w:customStyle="1" w:styleId="11">
    <w:name w:val="批注框文本 字符"/>
    <w:link w:val="3"/>
    <w:semiHidden/>
    <w:qFormat/>
    <w:locked/>
    <w:uiPriority w:val="99"/>
    <w:rPr>
      <w:kern w:val="2"/>
      <w:sz w:val="18"/>
      <w:szCs w:val="18"/>
    </w:rPr>
  </w:style>
  <w:style w:type="character" w:customStyle="1" w:styleId="12">
    <w:name w:val="页脚 字符"/>
    <w:link w:val="4"/>
    <w:qFormat/>
    <w:locked/>
    <w:uiPriority w:val="99"/>
    <w:rPr>
      <w:kern w:val="2"/>
      <w:sz w:val="18"/>
      <w:szCs w:val="18"/>
    </w:rPr>
  </w:style>
  <w:style w:type="character" w:customStyle="1" w:styleId="13">
    <w:name w:val="页眉 字符"/>
    <w:link w:val="5"/>
    <w:qFormat/>
    <w:locked/>
    <w:uiPriority w:val="99"/>
    <w:rPr>
      <w:kern w:val="2"/>
      <w:sz w:val="18"/>
      <w:szCs w:val="18"/>
    </w:rPr>
  </w:style>
  <w:style w:type="paragraph" w:customStyle="1" w:styleId="14">
    <w:name w:val="列出段落1"/>
    <w:basedOn w:val="1"/>
    <w:qFormat/>
    <w:uiPriority w:val="99"/>
    <w:pPr>
      <w:ind w:firstLine="420" w:firstLineChars="200"/>
    </w:pPr>
    <w:rPr>
      <w:rFonts w:ascii="Calibri" w:hAnsi="Calibri" w:cs="Calibri"/>
    </w:rPr>
  </w:style>
  <w:style w:type="character" w:customStyle="1" w:styleId="15">
    <w:name w:val="Footer Char1"/>
    <w:semiHidden/>
    <w:qFormat/>
    <w:uiPriority w:val="99"/>
    <w:rPr>
      <w:sz w:val="18"/>
      <w:szCs w:val="18"/>
    </w:rPr>
  </w:style>
  <w:style w:type="character" w:customStyle="1" w:styleId="16">
    <w:name w:val="Header Char1"/>
    <w:semiHidden/>
    <w:qFormat/>
    <w:uiPriority w:val="99"/>
    <w:rPr>
      <w:sz w:val="18"/>
      <w:szCs w:val="18"/>
    </w:rPr>
  </w:style>
  <w:style w:type="paragraph" w:customStyle="1" w:styleId="17">
    <w:name w:val="_Style 67"/>
    <w:basedOn w:val="1"/>
    <w:next w:val="1"/>
    <w:qFormat/>
    <w:uiPriority w:val="99"/>
    <w:pPr>
      <w:widowControl/>
      <w:spacing w:line="360" w:lineRule="auto"/>
      <w:ind w:firstLine="420" w:firstLineChars="200"/>
      <w:jc w:val="left"/>
    </w:pPr>
    <w:rPr>
      <w:rFonts w:ascii="Calibri" w:hAnsi="Calibri" w:eastAsia="微软雅黑" w:cs="Calibri"/>
      <w:sz w:val="24"/>
      <w:szCs w:val="24"/>
    </w:rPr>
  </w:style>
  <w:style w:type="character" w:customStyle="1" w:styleId="18">
    <w:name w:val="Body Text Indent Char1"/>
    <w:semiHidden/>
    <w:qFormat/>
    <w:uiPriority w:val="99"/>
    <w:rPr>
      <w:szCs w:val="21"/>
    </w:rPr>
  </w:style>
  <w:style w:type="character" w:customStyle="1" w:styleId="19">
    <w:name w:val="正文文本缩进 字符"/>
    <w:semiHidden/>
    <w:qFormat/>
    <w:uiPriority w:val="99"/>
    <w:rPr>
      <w:kern w:val="2"/>
      <w:sz w:val="24"/>
      <w:szCs w:val="24"/>
    </w:rPr>
  </w:style>
  <w:style w:type="paragraph" w:customStyle="1" w:styleId="20">
    <w:name w:val="修订1"/>
    <w:semiHidden/>
    <w:qFormat/>
    <w:uiPriority w:val="99"/>
    <w:rPr>
      <w:rFonts w:ascii="Times New Roman" w:hAnsi="Times New Roman" w:eastAsia="宋体" w:cs="Times New Roman"/>
      <w:kern w:val="2"/>
      <w:sz w:val="21"/>
      <w:szCs w:val="21"/>
      <w:lang w:val="en-US" w:eastAsia="zh-CN" w:bidi="ar-SA"/>
    </w:rPr>
  </w:style>
  <w:style w:type="paragraph" w:customStyle="1" w:styleId="21">
    <w:name w:val="修订2"/>
    <w:semiHidden/>
    <w:qFormat/>
    <w:uiPriority w:val="99"/>
    <w:rPr>
      <w:rFonts w:ascii="Times New Roman" w:hAnsi="Times New Roman" w:eastAsia="宋体" w:cs="Times New Roman"/>
      <w:kern w:val="2"/>
      <w:sz w:val="21"/>
      <w:szCs w:val="21"/>
      <w:lang w:val="en-US" w:eastAsia="zh-CN" w:bidi="ar-SA"/>
    </w:rPr>
  </w:style>
  <w:style w:type="paragraph" w:styleId="22">
    <w:name w:val="List Paragraph"/>
    <w:basedOn w:val="1"/>
    <w:qFormat/>
    <w:uiPriority w:val="99"/>
    <w:pPr>
      <w:ind w:firstLine="420" w:firstLineChars="200"/>
    </w:pPr>
  </w:style>
  <w:style w:type="table" w:customStyle="1" w:styleId="23">
    <w:name w:val="网格型1"/>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933</Words>
  <Characters>1455</Characters>
  <Lines>50</Lines>
  <Paragraphs>14</Paragraphs>
  <TotalTime>4</TotalTime>
  <ScaleCrop>false</ScaleCrop>
  <LinksUpToDate>false</LinksUpToDate>
  <CharactersWithSpaces>1521</CharactersWithSpaces>
  <Application>WPS Office_11.8.0.12357_F1E327BC-269C-435d-A152-05C5408002CA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2025-03-28T10:21:00Z</dcterms:created>
  <dc:creator>GQI</dc:creator>
  <cp:lastModifiedBy>oa</cp:lastModifiedBy>
  <cp:lastPrinted>2019-12-05T15:53:00Z</cp:lastPrinted>
  <dcterms:modified xsi:type="dcterms:W3CDTF">2026-04-23T16:51:26Z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2052-11.8.0.12357</vt:lpwstr>
  </property>
  <property fmtid="{D5CDD505-2E9C-101B-9397-08002B2CF9AE}" pid="3" name="ICV">
    <vt:lpwstr>754C6B6525CD4FF78E9AD152A97973A7_13</vt:lpwstr>
  </property>
  <property fmtid="{D5CDD505-2E9C-101B-9397-08002B2CF9AE}" pid="4" name="KSOTemplateDocerSaveRecord">
    <vt:lpwstr>eyJoZGlkIjoiYzZjYjUwZmZmNzY1ZDZlNGUzMmIwZTJmODExMWZkNWYiLCJ1c2VySWQiOiIyNjY2MjkwNzMifQ==</vt:lpwstr>
  </property>
</Properties>
</file>