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45587C">
      <w:pPr>
        <w:keepNext w:val="0"/>
        <w:keepLines w:val="0"/>
        <w:pageBreakBefore w:val="0"/>
        <w:widowControl w:val="0"/>
        <w:kinsoku/>
        <w:overflowPunct/>
        <w:topLinePunct w:val="0"/>
        <w:autoSpaceDE/>
        <w:autoSpaceDN/>
        <w:bidi w:val="0"/>
        <w:adjustRightInd/>
        <w:snapToGrid/>
        <w:spacing w:line="556" w:lineRule="exact"/>
        <w:ind w:left="0" w:leftChars="0"/>
        <w:rPr>
          <w:rFonts w:hint="eastAsia" w:ascii="Times New Roman" w:hAnsi="Times New Roman" w:eastAsia="黑体" w:cs="黑体"/>
          <w:color w:val="000000"/>
          <w:sz w:val="32"/>
          <w:szCs w:val="32"/>
          <w:highlight w:val="none"/>
        </w:rPr>
      </w:pPr>
      <w:bookmarkStart w:id="0" w:name="_GoBack"/>
      <w:r>
        <w:rPr>
          <w:rFonts w:hint="eastAsia" w:ascii="Times New Roman" w:hAnsi="Times New Roman" w:eastAsia="黑体" w:cs="黑体"/>
          <w:color w:val="000000"/>
          <w:sz w:val="32"/>
          <w:szCs w:val="32"/>
          <w:highlight w:val="none"/>
        </w:rPr>
        <w:t>附件</w:t>
      </w:r>
      <w:r>
        <w:rPr>
          <w:rFonts w:hint="eastAsia" w:ascii="Times New Roman" w:hAnsi="Times New Roman" w:eastAsia="黑体" w:cs="黑体"/>
          <w:color w:val="000000"/>
          <w:sz w:val="32"/>
          <w:szCs w:val="32"/>
          <w:highlight w:val="none"/>
          <w:lang w:val="en-US" w:eastAsia="zh-CN"/>
        </w:rPr>
        <w:t>4</w:t>
      </w:r>
    </w:p>
    <w:p w14:paraId="055903AA">
      <w:pPr>
        <w:keepNext w:val="0"/>
        <w:keepLines w:val="0"/>
        <w:pageBreakBefore w:val="0"/>
        <w:widowControl w:val="0"/>
        <w:kinsoku/>
        <w:overflowPunct/>
        <w:topLinePunct w:val="0"/>
        <w:autoSpaceDE/>
        <w:autoSpaceDN/>
        <w:bidi w:val="0"/>
        <w:adjustRightInd/>
        <w:snapToGrid/>
        <w:spacing w:line="556" w:lineRule="exact"/>
        <w:ind w:left="0" w:leftChars="0"/>
        <w:rPr>
          <w:rFonts w:ascii="Times New Roman" w:hAnsi="Times New Roman" w:eastAsia="仿宋"/>
          <w:color w:val="000000"/>
          <w:sz w:val="32"/>
          <w:szCs w:val="32"/>
          <w:highlight w:val="none"/>
        </w:rPr>
      </w:pPr>
    </w:p>
    <w:p w14:paraId="401C39D8">
      <w:pPr>
        <w:keepNext w:val="0"/>
        <w:keepLines w:val="0"/>
        <w:pageBreakBefore w:val="0"/>
        <w:widowControl w:val="0"/>
        <w:kinsoku/>
        <w:overflowPunct/>
        <w:topLinePunct w:val="0"/>
        <w:autoSpaceDE/>
        <w:autoSpaceDN/>
        <w:bidi w:val="0"/>
        <w:adjustRightInd/>
        <w:snapToGrid/>
        <w:spacing w:line="556" w:lineRule="exact"/>
        <w:ind w:left="0" w:leftChars="0"/>
        <w:jc w:val="center"/>
        <w:rPr>
          <w:rFonts w:hint="eastAsia" w:ascii="Times New Roman" w:hAnsi="Times New Roman" w:eastAsia="方正小标宋简体" w:cs="方正小标宋简体"/>
          <w:color w:val="000000"/>
          <w:w w:val="90"/>
          <w:sz w:val="44"/>
          <w:szCs w:val="44"/>
          <w:highlight w:val="none"/>
        </w:rPr>
      </w:pPr>
      <w:r>
        <w:rPr>
          <w:rFonts w:hint="eastAsia" w:ascii="Times New Roman" w:hAnsi="Times New Roman" w:eastAsia="方正小标宋简体" w:cs="方正小标宋简体"/>
          <w:b w:val="0"/>
          <w:bCs w:val="0"/>
          <w:color w:val="000000"/>
          <w:w w:val="100"/>
          <w:sz w:val="44"/>
          <w:szCs w:val="44"/>
          <w:highlight w:val="none"/>
        </w:rPr>
        <w:t>危险化学品建设项目安全设施验收工作指引</w:t>
      </w:r>
      <w:bookmarkEnd w:id="0"/>
    </w:p>
    <w:p w14:paraId="3E25B429">
      <w:pPr>
        <w:keepNext w:val="0"/>
        <w:keepLines w:val="0"/>
        <w:pageBreakBefore w:val="0"/>
        <w:widowControl w:val="0"/>
        <w:kinsoku/>
        <w:overflowPunct/>
        <w:topLinePunct w:val="0"/>
        <w:autoSpaceDE/>
        <w:autoSpaceDN/>
        <w:bidi w:val="0"/>
        <w:adjustRightInd/>
        <w:snapToGrid/>
        <w:spacing w:line="556" w:lineRule="exact"/>
        <w:ind w:left="0" w:leftChars="0"/>
        <w:jc w:val="center"/>
        <w:rPr>
          <w:rFonts w:ascii="Times New Roman" w:hAnsi="Times New Roman" w:eastAsia="仿宋"/>
          <w:color w:val="000000"/>
          <w:sz w:val="32"/>
          <w:szCs w:val="32"/>
          <w:highlight w:val="none"/>
        </w:rPr>
      </w:pPr>
      <w:r>
        <w:rPr>
          <w:rFonts w:ascii="Times New Roman" w:hAnsi="Times New Roman" w:eastAsia="仿宋"/>
          <w:color w:val="000000"/>
          <w:sz w:val="32"/>
          <w:szCs w:val="32"/>
          <w:highlight w:val="none"/>
        </w:rPr>
        <w:t xml:space="preserve">   </w:t>
      </w:r>
    </w:p>
    <w:p w14:paraId="6DEA2597">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jc w:val="both"/>
        <w:textAlignment w:val="auto"/>
        <w:outlineLvl w:val="9"/>
        <w:rPr>
          <w:rFonts w:hint="eastAsia" w:ascii="Times New Roman" w:hAnsi="Times New Roman" w:eastAsia="仿宋" w:cs="仿宋"/>
          <w:b/>
          <w:color w:val="000000"/>
          <w:sz w:val="32"/>
          <w:szCs w:val="32"/>
          <w:highlight w:val="none"/>
        </w:rPr>
      </w:pPr>
      <w:r>
        <w:rPr>
          <w:rFonts w:ascii="Times New Roman" w:hAnsi="Times New Roman" w:eastAsia="仿宋"/>
          <w:color w:val="000000"/>
          <w:sz w:val="32"/>
          <w:szCs w:val="32"/>
          <w:highlight w:val="none"/>
        </w:rPr>
        <w:t xml:space="preserve">  </w:t>
      </w:r>
      <w:r>
        <w:rPr>
          <w:rFonts w:ascii="Times New Roman" w:hAnsi="Times New Roman" w:eastAsia="仿宋"/>
          <w:b/>
          <w:color w:val="000000"/>
          <w:sz w:val="32"/>
          <w:szCs w:val="32"/>
          <w:highlight w:val="none"/>
        </w:rPr>
        <w:t xml:space="preserve">  </w:t>
      </w:r>
      <w:r>
        <w:rPr>
          <w:rFonts w:hint="eastAsia" w:ascii="Times New Roman" w:hAnsi="Times New Roman" w:eastAsia="仿宋" w:cs="仿宋"/>
          <w:b/>
          <w:color w:val="000000"/>
          <w:sz w:val="32"/>
          <w:szCs w:val="32"/>
          <w:highlight w:val="none"/>
        </w:rPr>
        <w:t xml:space="preserve">1 目的  </w:t>
      </w:r>
    </w:p>
    <w:p w14:paraId="68E8F17C">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jc w:val="both"/>
        <w:textAlignment w:val="auto"/>
        <w:outlineLvl w:val="9"/>
        <w:rPr>
          <w:rFonts w:hint="eastAsia" w:ascii="Times New Roman" w:hAnsi="Times New Roman" w:eastAsia="仿宋" w:cs="仿宋"/>
          <w:color w:val="000000"/>
          <w:kern w:val="0"/>
          <w:sz w:val="32"/>
          <w:szCs w:val="32"/>
          <w:highlight w:val="none"/>
          <w:lang w:val="zh-TW"/>
        </w:rPr>
      </w:pPr>
      <w:r>
        <w:rPr>
          <w:rFonts w:hint="eastAsia" w:ascii="Times New Roman" w:hAnsi="Times New Roman" w:eastAsia="仿宋" w:cs="仿宋"/>
          <w:color w:val="000000"/>
          <w:sz w:val="32"/>
          <w:szCs w:val="32"/>
          <w:highlight w:val="none"/>
        </w:rPr>
        <w:t xml:space="preserve">   </w:t>
      </w:r>
      <w:r>
        <w:rPr>
          <w:rFonts w:hint="eastAsia" w:ascii="Times New Roman" w:hAnsi="Times New Roman" w:eastAsia="仿宋" w:cs="仿宋"/>
          <w:color w:val="000000"/>
          <w:kern w:val="0"/>
          <w:sz w:val="32"/>
          <w:szCs w:val="32"/>
          <w:highlight w:val="none"/>
          <w:lang w:val="zh-TW"/>
        </w:rPr>
        <w:t xml:space="preserve"> 根据新修改的《中华人民共和国安全生产法》第三十</w:t>
      </w:r>
      <w:r>
        <w:rPr>
          <w:rFonts w:hint="eastAsia" w:ascii="Times New Roman" w:hAnsi="Times New Roman" w:eastAsia="仿宋" w:cs="仿宋"/>
          <w:color w:val="000000"/>
          <w:kern w:val="0"/>
          <w:sz w:val="32"/>
          <w:szCs w:val="32"/>
          <w:highlight w:val="none"/>
          <w:lang w:val="zh-TW" w:eastAsia="zh-CN"/>
        </w:rPr>
        <w:t>四</w:t>
      </w:r>
      <w:r>
        <w:rPr>
          <w:rFonts w:hint="eastAsia" w:ascii="Times New Roman" w:hAnsi="Times New Roman" w:eastAsia="仿宋" w:cs="仿宋"/>
          <w:color w:val="000000"/>
          <w:kern w:val="0"/>
          <w:sz w:val="32"/>
          <w:szCs w:val="32"/>
          <w:highlight w:val="none"/>
          <w:lang w:val="zh-TW"/>
        </w:rPr>
        <w:t>条第二款“</w:t>
      </w:r>
      <w:r>
        <w:rPr>
          <w:rFonts w:hint="eastAsia" w:ascii="Times New Roman" w:hAnsi="Times New Roman" w:eastAsia="仿宋" w:cs="仿宋"/>
          <w:i w:val="0"/>
          <w:caps w:val="0"/>
          <w:color w:val="000000"/>
          <w:spacing w:val="0"/>
          <w:kern w:val="0"/>
          <w:sz w:val="32"/>
          <w:szCs w:val="32"/>
          <w:highlight w:val="none"/>
          <w:shd w:val="clear" w:color="auto" w:fill="auto"/>
          <w:lang w:val="zh-TW" w:eastAsia="zh-CN"/>
        </w:rPr>
        <w:t>矿山、金属冶炼建设项目和用于生产、储存、装卸危险物品的建设项目竣工投入生产或者使用前，应当由建设单位负责组织对安全设施进行验收；验收合格后，方可投入生产和使用。负有安全生产监督管理职责的部门应当加强对建设单位验收活动和验收结果的监督核查</w:t>
      </w:r>
      <w:r>
        <w:rPr>
          <w:rFonts w:hint="eastAsia" w:ascii="Times New Roman" w:hAnsi="Times New Roman" w:eastAsia="仿宋" w:cs="仿宋"/>
          <w:color w:val="000000"/>
          <w:kern w:val="0"/>
          <w:sz w:val="32"/>
          <w:szCs w:val="32"/>
          <w:highlight w:val="none"/>
          <w:lang w:val="zh-TW"/>
        </w:rPr>
        <w:t>”的规定，为了规范危险化学品建设项目安全设施验收工作，落实项目建设单位、设计单位、施工单位、监理单位以及评价机构等的安全生产主体责任，依据有关法律法规规定，制定本指引。</w:t>
      </w:r>
    </w:p>
    <w:p w14:paraId="6310F66D">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3" w:firstLineChars="200"/>
        <w:jc w:val="both"/>
        <w:textAlignment w:val="auto"/>
        <w:outlineLvl w:val="9"/>
        <w:rPr>
          <w:rFonts w:hint="eastAsia" w:ascii="Times New Roman" w:hAnsi="Times New Roman" w:eastAsia="仿宋" w:cs="仿宋"/>
          <w:b/>
          <w:color w:val="000000"/>
          <w:sz w:val="32"/>
          <w:szCs w:val="32"/>
          <w:highlight w:val="none"/>
        </w:rPr>
      </w:pPr>
      <w:r>
        <w:rPr>
          <w:rFonts w:hint="eastAsia" w:ascii="Times New Roman" w:hAnsi="Times New Roman" w:eastAsia="仿宋" w:cs="仿宋"/>
          <w:b/>
          <w:color w:val="000000"/>
          <w:sz w:val="32"/>
          <w:szCs w:val="32"/>
          <w:highlight w:val="none"/>
        </w:rPr>
        <w:t xml:space="preserve">2 适用范围  </w:t>
      </w:r>
    </w:p>
    <w:p w14:paraId="682F5B5C">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kern w:val="0"/>
          <w:sz w:val="32"/>
          <w:szCs w:val="32"/>
          <w:highlight w:val="none"/>
        </w:rPr>
        <w:t>本省行政区域内新建、改建、扩建危险化学品生产、储存的建设项目以及伴有危险化学品产生的化工建设项目（包括石油、天然气和危险化学品长输管道建设项目及纳入</w:t>
      </w:r>
      <w:r>
        <w:rPr>
          <w:rFonts w:hint="eastAsia" w:ascii="Times New Roman" w:hAnsi="Times New Roman" w:eastAsia="仿宋" w:cs="仿宋"/>
          <w:color w:val="000000"/>
          <w:sz w:val="32"/>
          <w:highlight w:val="none"/>
          <w:shd w:val="clear" w:color="auto" w:fill="FFFFFF"/>
        </w:rPr>
        <w:t>危险化学品安全使用许可的化工建设项目</w:t>
      </w:r>
      <w:r>
        <w:rPr>
          <w:rFonts w:hint="eastAsia" w:ascii="Times New Roman" w:hAnsi="Times New Roman" w:eastAsia="仿宋" w:cs="仿宋"/>
          <w:color w:val="000000"/>
          <w:kern w:val="0"/>
          <w:sz w:val="32"/>
          <w:szCs w:val="32"/>
          <w:highlight w:val="none"/>
        </w:rPr>
        <w:t>，</w:t>
      </w:r>
      <w:r>
        <w:rPr>
          <w:rFonts w:hint="eastAsia" w:ascii="Times New Roman" w:hAnsi="Times New Roman" w:eastAsia="仿宋" w:cs="仿宋"/>
          <w:color w:val="000000"/>
          <w:kern w:val="0"/>
          <w:sz w:val="32"/>
          <w:szCs w:val="32"/>
          <w:highlight w:val="none"/>
          <w:lang w:eastAsia="zh-CN"/>
        </w:rPr>
        <w:t>储存、装卸危险化学品的港口建设项目除外，</w:t>
      </w:r>
      <w:r>
        <w:rPr>
          <w:rFonts w:hint="eastAsia" w:ascii="Times New Roman" w:hAnsi="Times New Roman" w:eastAsia="仿宋" w:cs="仿宋"/>
          <w:color w:val="000000"/>
          <w:kern w:val="0"/>
          <w:sz w:val="32"/>
          <w:szCs w:val="32"/>
          <w:highlight w:val="none"/>
        </w:rPr>
        <w:t>以下统称建设项目）</w:t>
      </w:r>
      <w:r>
        <w:rPr>
          <w:rFonts w:hint="eastAsia" w:ascii="Times New Roman" w:hAnsi="Times New Roman" w:eastAsia="仿宋" w:cs="仿宋"/>
          <w:color w:val="000000"/>
          <w:sz w:val="32"/>
          <w:szCs w:val="32"/>
          <w:highlight w:val="none"/>
        </w:rPr>
        <w:t>，其建设单位组织的安全设施验收活动适用本指引。</w:t>
      </w:r>
    </w:p>
    <w:p w14:paraId="52267D93">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国家、省对于危险化学品建设项目安全设施验收另有规定的，从其规定。</w:t>
      </w:r>
    </w:p>
    <w:p w14:paraId="5836A3BF">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3" w:firstLineChars="200"/>
        <w:jc w:val="both"/>
        <w:textAlignment w:val="auto"/>
        <w:outlineLvl w:val="9"/>
        <w:rPr>
          <w:rFonts w:hint="eastAsia" w:ascii="Times New Roman" w:hAnsi="Times New Roman" w:eastAsia="仿宋" w:cs="仿宋"/>
          <w:b/>
          <w:color w:val="000000"/>
          <w:sz w:val="32"/>
          <w:szCs w:val="32"/>
          <w:highlight w:val="none"/>
        </w:rPr>
      </w:pPr>
      <w:r>
        <w:rPr>
          <w:rFonts w:hint="eastAsia" w:ascii="Times New Roman" w:hAnsi="Times New Roman" w:eastAsia="仿宋" w:cs="仿宋"/>
          <w:b/>
          <w:color w:val="000000"/>
          <w:sz w:val="32"/>
          <w:szCs w:val="32"/>
          <w:highlight w:val="none"/>
        </w:rPr>
        <w:t>3 验收准备工作</w:t>
      </w:r>
    </w:p>
    <w:p w14:paraId="1450BBB8">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3" w:firstLineChars="200"/>
        <w:jc w:val="both"/>
        <w:textAlignment w:val="auto"/>
        <w:outlineLvl w:val="9"/>
        <w:rPr>
          <w:rFonts w:hint="eastAsia" w:ascii="Times New Roman" w:hAnsi="Times New Roman" w:eastAsia="仿宋" w:cs="仿宋"/>
          <w:b/>
          <w:bCs/>
          <w:color w:val="000000"/>
          <w:sz w:val="32"/>
          <w:szCs w:val="32"/>
          <w:highlight w:val="none"/>
        </w:rPr>
      </w:pPr>
      <w:r>
        <w:rPr>
          <w:rFonts w:hint="eastAsia" w:ascii="Times New Roman" w:hAnsi="Times New Roman" w:eastAsia="仿宋" w:cs="仿宋"/>
          <w:b/>
          <w:bCs/>
          <w:color w:val="000000"/>
          <w:sz w:val="32"/>
          <w:szCs w:val="32"/>
          <w:highlight w:val="none"/>
        </w:rPr>
        <w:t>3.1 前期准备工作</w:t>
      </w:r>
    </w:p>
    <w:p w14:paraId="1A450B32">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 xml:space="preserve">    建设单位应当在开展建设项目安全设施验收工作前做好相关准备工作并备齐有关文件、资料。</w:t>
      </w:r>
    </w:p>
    <w:p w14:paraId="6D34C847">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 xml:space="preserve">    </w:t>
      </w: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lang w:val="en-US" w:eastAsia="zh-CN"/>
        </w:rPr>
        <w:t>1</w:t>
      </w: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rPr>
        <w:t>建设项目安全设施施工、监理情况报告（按照规定不要求监理的除外）；</w:t>
      </w:r>
    </w:p>
    <w:p w14:paraId="60FA43A6">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 xml:space="preserve">    </w:t>
      </w: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lang w:val="en-US" w:eastAsia="zh-CN"/>
        </w:rPr>
        <w:t>2</w:t>
      </w: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rPr>
        <w:t>建设项目安全验收评价报告；</w:t>
      </w:r>
    </w:p>
    <w:p w14:paraId="0BE14BEA">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lang w:val="en-US" w:eastAsia="zh-CN"/>
        </w:rPr>
        <w:t>3</w:t>
      </w: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rPr>
        <w:t>试生产（使用）期间是否发生事故、采取的防范措施以及整改情况报告；</w:t>
      </w:r>
    </w:p>
    <w:p w14:paraId="0588806F">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lang w:val="en-US" w:eastAsia="zh-CN"/>
        </w:rPr>
        <w:t>4</w:t>
      </w: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rPr>
        <w:t>建设项目施工、监理单位资质证书（按照规定不要求监理的除外，复制件）；</w:t>
      </w:r>
    </w:p>
    <w:p w14:paraId="43CCD4C1">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 xml:space="preserve">    </w:t>
      </w: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lang w:val="en-US" w:eastAsia="zh-CN"/>
        </w:rPr>
        <w:t>5</w:t>
      </w: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rPr>
        <w:t>主要负责人、安全生产管理人员、注册安全工程师资格证书（复制件），以及特种作业人员名单；</w:t>
      </w:r>
    </w:p>
    <w:p w14:paraId="63ED28A6">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 xml:space="preserve">    </w:t>
      </w: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lang w:val="en-US" w:eastAsia="zh-CN"/>
        </w:rPr>
        <w:t>6</w:t>
      </w: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rPr>
        <w:t>从业人员安全教育、培训合格的证明材料；</w:t>
      </w:r>
    </w:p>
    <w:p w14:paraId="11EC5014">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lang w:val="en-US" w:eastAsia="zh-CN"/>
        </w:rPr>
        <w:t>7</w:t>
      </w: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rPr>
        <w:t>劳动保护用品配备情况说明；</w:t>
      </w:r>
    </w:p>
    <w:p w14:paraId="4E141A15">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lang w:val="en-US" w:eastAsia="zh-CN"/>
        </w:rPr>
        <w:t>8</w:t>
      </w: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rPr>
        <w:t>安全生产责任制文件，安全生产规章制度清单、岗位操作安全规程清单；</w:t>
      </w:r>
    </w:p>
    <w:p w14:paraId="13447064">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lang w:val="en-US" w:eastAsia="zh-CN"/>
        </w:rPr>
        <w:t>9</w:t>
      </w: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rPr>
        <w:t>设置安全生产管理机构和配备专职安全生产管理人员的文件（复制件）；</w:t>
      </w:r>
    </w:p>
    <w:p w14:paraId="1869100E">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lang w:val="en-US" w:eastAsia="zh-CN"/>
        </w:rPr>
        <w:t>10</w:t>
      </w: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rPr>
        <w:t>为从业人员缴纳工伤保险费的证明材料（复制件）；</w:t>
      </w:r>
    </w:p>
    <w:p w14:paraId="1023D97F">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lang w:val="en-US" w:eastAsia="zh-CN"/>
        </w:rPr>
        <w:t>11</w:t>
      </w: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rPr>
        <w:t>准备建设项目安全设施验收需要的其他材料。</w:t>
      </w:r>
    </w:p>
    <w:p w14:paraId="5A673F92">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3" w:firstLineChars="200"/>
        <w:jc w:val="both"/>
        <w:textAlignment w:val="auto"/>
        <w:outlineLvl w:val="9"/>
        <w:rPr>
          <w:rFonts w:hint="eastAsia" w:ascii="Times New Roman" w:hAnsi="Times New Roman" w:eastAsia="仿宋" w:cs="仿宋"/>
          <w:b/>
          <w:bCs/>
          <w:color w:val="000000"/>
          <w:sz w:val="32"/>
          <w:szCs w:val="32"/>
          <w:highlight w:val="none"/>
        </w:rPr>
      </w:pPr>
      <w:r>
        <w:rPr>
          <w:rFonts w:hint="eastAsia" w:ascii="Times New Roman" w:hAnsi="Times New Roman" w:eastAsia="仿宋" w:cs="仿宋"/>
          <w:b/>
          <w:bCs/>
          <w:color w:val="000000"/>
          <w:sz w:val="32"/>
          <w:szCs w:val="32"/>
          <w:highlight w:val="none"/>
        </w:rPr>
        <w:t>3.2制定方案</w:t>
      </w:r>
    </w:p>
    <w:p w14:paraId="2B318A09">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kern w:val="0"/>
          <w:sz w:val="32"/>
          <w:szCs w:val="32"/>
          <w:highlight w:val="none"/>
          <w:lang w:val="zh-TW"/>
        </w:rPr>
        <w:t>建设单位在建设项目竣工投入生产或者使用前，组织对建设项目安全设施进行验收，制定验收工作方案，并于组织开展验收工作的5个工作日前将验收工作方案函告负责安全设施设计审查的</w:t>
      </w:r>
      <w:r>
        <w:rPr>
          <w:rFonts w:hint="eastAsia" w:ascii="Times New Roman" w:hAnsi="Times New Roman" w:eastAsia="仿宋" w:cs="仿宋"/>
          <w:color w:val="000000"/>
          <w:kern w:val="0"/>
          <w:sz w:val="32"/>
          <w:szCs w:val="32"/>
          <w:highlight w:val="none"/>
          <w:lang w:val="zh-TW" w:eastAsia="zh-CN"/>
        </w:rPr>
        <w:t>应急管理</w:t>
      </w:r>
      <w:r>
        <w:rPr>
          <w:rFonts w:hint="eastAsia" w:ascii="Times New Roman" w:hAnsi="Times New Roman" w:eastAsia="仿宋" w:cs="仿宋"/>
          <w:color w:val="000000"/>
          <w:kern w:val="0"/>
          <w:sz w:val="32"/>
          <w:szCs w:val="32"/>
          <w:highlight w:val="none"/>
          <w:lang w:val="zh-TW"/>
        </w:rPr>
        <w:t>部门和所在地</w:t>
      </w:r>
      <w:r>
        <w:rPr>
          <w:rFonts w:hint="eastAsia" w:ascii="Times New Roman" w:hAnsi="Times New Roman" w:eastAsia="仿宋" w:cs="仿宋"/>
          <w:color w:val="000000"/>
          <w:kern w:val="0"/>
          <w:sz w:val="32"/>
          <w:szCs w:val="32"/>
          <w:highlight w:val="none"/>
          <w:lang w:val="zh-TW" w:eastAsia="zh-CN"/>
        </w:rPr>
        <w:t>应急管理</w:t>
      </w:r>
      <w:r>
        <w:rPr>
          <w:rFonts w:hint="eastAsia" w:ascii="Times New Roman" w:hAnsi="Times New Roman" w:eastAsia="仿宋" w:cs="仿宋"/>
          <w:color w:val="000000"/>
          <w:kern w:val="0"/>
          <w:sz w:val="32"/>
          <w:szCs w:val="32"/>
          <w:highlight w:val="none"/>
          <w:lang w:val="zh-TW"/>
        </w:rPr>
        <w:t>部门。</w:t>
      </w:r>
    </w:p>
    <w:p w14:paraId="1E37DFC1">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工作方案应包括：验收工作组织、参与验收的单位和人员、验收范围、任务分工、时间安排、工作步骤、工作要求等内容。</w:t>
      </w:r>
    </w:p>
    <w:p w14:paraId="575B9F7F">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3"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b/>
          <w:bCs/>
          <w:color w:val="000000"/>
          <w:sz w:val="32"/>
          <w:szCs w:val="32"/>
          <w:highlight w:val="none"/>
        </w:rPr>
        <w:t>3.</w:t>
      </w:r>
      <w:r>
        <w:rPr>
          <w:rFonts w:hint="eastAsia" w:ascii="Times New Roman" w:hAnsi="Times New Roman" w:eastAsia="仿宋" w:cs="仿宋"/>
          <w:b/>
          <w:bCs/>
          <w:color w:val="000000"/>
          <w:sz w:val="32"/>
          <w:szCs w:val="32"/>
          <w:highlight w:val="none"/>
          <w:lang w:val="en-US" w:eastAsia="zh-CN"/>
        </w:rPr>
        <w:t>2</w:t>
      </w:r>
      <w:r>
        <w:rPr>
          <w:rFonts w:hint="eastAsia" w:ascii="Times New Roman" w:hAnsi="Times New Roman" w:eastAsia="仿宋" w:cs="仿宋"/>
          <w:b/>
          <w:bCs/>
          <w:color w:val="000000"/>
          <w:sz w:val="32"/>
          <w:szCs w:val="32"/>
          <w:highlight w:val="none"/>
        </w:rPr>
        <w:t>.1</w:t>
      </w:r>
      <w:r>
        <w:rPr>
          <w:rFonts w:hint="eastAsia" w:ascii="Times New Roman" w:hAnsi="Times New Roman" w:eastAsia="仿宋" w:cs="仿宋"/>
          <w:color w:val="000000"/>
          <w:sz w:val="32"/>
          <w:szCs w:val="32"/>
          <w:highlight w:val="none"/>
        </w:rPr>
        <w:t>验收范围</w:t>
      </w:r>
    </w:p>
    <w:p w14:paraId="432CC165">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应当与建设项目立项批准（核准、备案）或安全设施设计审查的范围相一致。</w:t>
      </w:r>
    </w:p>
    <w:p w14:paraId="3202B78B">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3"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b/>
          <w:bCs/>
          <w:color w:val="000000"/>
          <w:sz w:val="32"/>
          <w:szCs w:val="32"/>
          <w:highlight w:val="none"/>
        </w:rPr>
        <w:t>3.</w:t>
      </w:r>
      <w:r>
        <w:rPr>
          <w:rFonts w:hint="eastAsia" w:ascii="Times New Roman" w:hAnsi="Times New Roman" w:eastAsia="仿宋" w:cs="仿宋"/>
          <w:b/>
          <w:bCs/>
          <w:color w:val="000000"/>
          <w:sz w:val="32"/>
          <w:szCs w:val="32"/>
          <w:highlight w:val="none"/>
          <w:lang w:val="en-US" w:eastAsia="zh-CN"/>
        </w:rPr>
        <w:t>2</w:t>
      </w:r>
      <w:r>
        <w:rPr>
          <w:rFonts w:hint="eastAsia" w:ascii="Times New Roman" w:hAnsi="Times New Roman" w:eastAsia="仿宋" w:cs="仿宋"/>
          <w:b/>
          <w:bCs/>
          <w:color w:val="000000"/>
          <w:sz w:val="32"/>
          <w:szCs w:val="32"/>
          <w:highlight w:val="none"/>
        </w:rPr>
        <w:t>.2</w:t>
      </w:r>
      <w:r>
        <w:rPr>
          <w:rFonts w:hint="eastAsia" w:ascii="Times New Roman" w:hAnsi="Times New Roman" w:eastAsia="仿宋" w:cs="仿宋"/>
          <w:color w:val="000000"/>
          <w:sz w:val="32"/>
          <w:szCs w:val="32"/>
          <w:highlight w:val="none"/>
        </w:rPr>
        <w:t xml:space="preserve"> 参与人员</w:t>
      </w:r>
    </w:p>
    <w:p w14:paraId="063601C4">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参加建设项目安全设施验收人员的专业能力应当涵盖建设项目涉及的所有专业内容，一般包括下列人员：</w:t>
      </w:r>
    </w:p>
    <w:p w14:paraId="0B7942D4">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⑴建设单位主要负责人或者项目负责人、分管安全生产负责人、安全生产管理人员和工程技术人员。</w:t>
      </w:r>
    </w:p>
    <w:p w14:paraId="563558DE">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⑵建设项目设计单位、施工单位、监理单位、安全评价单位项目负责人。</w:t>
      </w:r>
    </w:p>
    <w:p w14:paraId="1757088D">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kern w:val="0"/>
          <w:sz w:val="32"/>
          <w:szCs w:val="32"/>
          <w:highlight w:val="none"/>
          <w:lang w:val="zh-TW"/>
        </w:rPr>
      </w:pPr>
      <w:r>
        <w:rPr>
          <w:rFonts w:hint="eastAsia" w:ascii="Times New Roman" w:hAnsi="Times New Roman" w:eastAsia="仿宋" w:cs="仿宋"/>
          <w:color w:val="000000"/>
          <w:kern w:val="0"/>
          <w:sz w:val="32"/>
          <w:szCs w:val="32"/>
          <w:highlight w:val="none"/>
          <w:lang w:val="zh-TW"/>
        </w:rPr>
        <w:t>⑶技术专家。建设单位根据建设项目的实际情况，组织具有化工工艺、化工设备、仪表自动化、安全管理等相关专业特长的专家参与验收工作。相关专家可在</w:t>
      </w:r>
      <w:r>
        <w:rPr>
          <w:rFonts w:hint="eastAsia" w:ascii="Times New Roman" w:hAnsi="Times New Roman" w:eastAsia="仿宋" w:cs="仿宋"/>
          <w:color w:val="000000"/>
          <w:kern w:val="0"/>
          <w:sz w:val="32"/>
          <w:szCs w:val="32"/>
          <w:highlight w:val="none"/>
          <w:lang w:val="zh-TW" w:eastAsia="zh-CN"/>
        </w:rPr>
        <w:t>应急管理</w:t>
      </w:r>
      <w:r>
        <w:rPr>
          <w:rFonts w:hint="eastAsia" w:ascii="Times New Roman" w:hAnsi="Times New Roman" w:eastAsia="仿宋" w:cs="仿宋"/>
          <w:color w:val="000000"/>
          <w:kern w:val="0"/>
          <w:sz w:val="32"/>
          <w:szCs w:val="32"/>
          <w:highlight w:val="none"/>
          <w:lang w:val="zh-TW"/>
        </w:rPr>
        <w:t>部门公布的安全生产专家库中选择。</w:t>
      </w:r>
    </w:p>
    <w:p w14:paraId="6328471F">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3"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b/>
          <w:bCs/>
          <w:color w:val="000000"/>
          <w:sz w:val="32"/>
          <w:szCs w:val="32"/>
          <w:highlight w:val="none"/>
        </w:rPr>
        <w:t>4</w:t>
      </w:r>
      <w:r>
        <w:rPr>
          <w:rFonts w:hint="eastAsia" w:ascii="Times New Roman" w:hAnsi="Times New Roman" w:eastAsia="仿宋" w:cs="仿宋"/>
          <w:color w:val="000000"/>
          <w:sz w:val="32"/>
          <w:szCs w:val="32"/>
          <w:highlight w:val="none"/>
        </w:rPr>
        <w:t xml:space="preserve"> </w:t>
      </w:r>
      <w:r>
        <w:rPr>
          <w:rFonts w:hint="eastAsia" w:ascii="Times New Roman" w:hAnsi="Times New Roman" w:eastAsia="仿宋" w:cs="仿宋"/>
          <w:b/>
          <w:bCs/>
          <w:color w:val="000000"/>
          <w:sz w:val="32"/>
          <w:szCs w:val="32"/>
          <w:highlight w:val="none"/>
        </w:rPr>
        <w:t>验收组织</w:t>
      </w:r>
    </w:p>
    <w:p w14:paraId="3C1C99D4">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3" w:firstLineChars="200"/>
        <w:jc w:val="both"/>
        <w:textAlignment w:val="auto"/>
        <w:outlineLvl w:val="9"/>
        <w:rPr>
          <w:rFonts w:hint="eastAsia" w:ascii="Times New Roman" w:hAnsi="Times New Roman" w:eastAsia="仿宋" w:cs="仿宋"/>
          <w:b/>
          <w:bCs/>
          <w:color w:val="000000"/>
          <w:sz w:val="32"/>
          <w:szCs w:val="32"/>
          <w:highlight w:val="none"/>
        </w:rPr>
      </w:pPr>
      <w:r>
        <w:rPr>
          <w:rFonts w:hint="eastAsia" w:ascii="Times New Roman" w:hAnsi="Times New Roman" w:eastAsia="仿宋" w:cs="仿宋"/>
          <w:b/>
          <w:bCs/>
          <w:color w:val="000000"/>
          <w:sz w:val="32"/>
          <w:szCs w:val="32"/>
          <w:highlight w:val="none"/>
        </w:rPr>
        <w:t>4.1 成立验收工作组</w:t>
      </w:r>
    </w:p>
    <w:p w14:paraId="36D025C8">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根据安全设施验收工作需要，建设单位应组织成立验收工作组，必要时，还应专门成立验收专家组，负责验收技术审查工作。验收工作组应推选产生工作组长，确定人员分工，明确验收工作安排和要求。工作组应包括与建设项目工艺、技术、设备设施、自动化控制、安全健康管理等涵盖建设项目涉及所有专业的专家。</w:t>
      </w:r>
    </w:p>
    <w:p w14:paraId="78E32AB3">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3" w:firstLineChars="200"/>
        <w:jc w:val="both"/>
        <w:textAlignment w:val="auto"/>
        <w:outlineLvl w:val="9"/>
        <w:rPr>
          <w:rFonts w:hint="eastAsia" w:ascii="Times New Roman" w:hAnsi="Times New Roman" w:eastAsia="仿宋" w:cs="仿宋"/>
          <w:b/>
          <w:bCs/>
          <w:color w:val="000000"/>
          <w:sz w:val="32"/>
          <w:szCs w:val="32"/>
          <w:highlight w:val="none"/>
        </w:rPr>
      </w:pPr>
      <w:r>
        <w:rPr>
          <w:rFonts w:hint="eastAsia" w:ascii="Times New Roman" w:hAnsi="Times New Roman" w:eastAsia="仿宋" w:cs="仿宋"/>
          <w:b/>
          <w:bCs/>
          <w:color w:val="000000"/>
          <w:sz w:val="32"/>
          <w:szCs w:val="32"/>
          <w:highlight w:val="none"/>
        </w:rPr>
        <w:t>4.2 资料审查</w:t>
      </w:r>
    </w:p>
    <w:p w14:paraId="34AF4552">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验收工作组对建设项目安全设施施工、监理情况报告、建设项目安全验收评价报告、试生产（使用）期间是否发生事故、采取的防范措施以及整改情况报告等资料进行重点审查。必要时，可召开会议听取建设单位、设计单位、施工单位、监理单位、安全评价单位项目负责人对建设项目建设及试生产（使用）情况、安全设施设计落实及变更是否符合规定情况、施工情况、监理情况、安全评价情况等进行汇报。</w:t>
      </w:r>
    </w:p>
    <w:p w14:paraId="0B5A0072">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3" w:firstLineChars="200"/>
        <w:jc w:val="both"/>
        <w:textAlignment w:val="auto"/>
        <w:outlineLvl w:val="9"/>
        <w:rPr>
          <w:rFonts w:hint="eastAsia" w:ascii="Times New Roman" w:hAnsi="Times New Roman" w:eastAsia="仿宋" w:cs="仿宋"/>
          <w:b/>
          <w:bCs/>
          <w:color w:val="000000"/>
          <w:sz w:val="32"/>
          <w:szCs w:val="32"/>
          <w:highlight w:val="none"/>
        </w:rPr>
      </w:pPr>
      <w:r>
        <w:rPr>
          <w:rFonts w:hint="eastAsia" w:ascii="Times New Roman" w:hAnsi="Times New Roman" w:eastAsia="仿宋" w:cs="仿宋"/>
          <w:b/>
          <w:bCs/>
          <w:color w:val="000000"/>
          <w:sz w:val="32"/>
          <w:szCs w:val="32"/>
          <w:highlight w:val="none"/>
        </w:rPr>
        <w:t>4.3 现场核查</w:t>
      </w:r>
    </w:p>
    <w:p w14:paraId="19EEC309">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验收工作组（专家组）应结合项目情况，对建设项目安全设施逐一进行现场核查或抽查，主要核查建设项目与有关标准规范的符合性、安全设施</w:t>
      </w:r>
      <w:r>
        <w:rPr>
          <w:rFonts w:hint="eastAsia" w:ascii="Times New Roman" w:hAnsi="Times New Roman" w:eastAsia="仿宋" w:cs="仿宋"/>
          <w:color w:val="000000"/>
          <w:sz w:val="32"/>
          <w:szCs w:val="32"/>
          <w:highlight w:val="none"/>
          <w:lang w:val="en-US" w:eastAsia="zh-CN"/>
        </w:rPr>
        <w:t>的</w:t>
      </w:r>
      <w:r>
        <w:rPr>
          <w:rFonts w:hint="eastAsia" w:ascii="Times New Roman" w:hAnsi="Times New Roman" w:eastAsia="仿宋" w:cs="仿宋"/>
          <w:color w:val="000000"/>
          <w:sz w:val="32"/>
          <w:szCs w:val="32"/>
          <w:highlight w:val="none"/>
        </w:rPr>
        <w:t>有效性，批准的安全设施设计是否落实或者发生变更等情况。</w:t>
      </w:r>
    </w:p>
    <w:p w14:paraId="4118C15F">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3" w:firstLineChars="200"/>
        <w:jc w:val="both"/>
        <w:textAlignment w:val="auto"/>
        <w:outlineLvl w:val="9"/>
        <w:rPr>
          <w:rFonts w:hint="eastAsia" w:ascii="Times New Roman" w:hAnsi="Times New Roman" w:eastAsia="仿宋" w:cs="仿宋"/>
          <w:b/>
          <w:bCs/>
          <w:color w:val="000000"/>
          <w:sz w:val="32"/>
          <w:szCs w:val="32"/>
          <w:highlight w:val="none"/>
        </w:rPr>
      </w:pPr>
      <w:r>
        <w:rPr>
          <w:rFonts w:hint="eastAsia" w:ascii="Times New Roman" w:hAnsi="Times New Roman" w:eastAsia="仿宋" w:cs="仿宋"/>
          <w:b/>
          <w:bCs/>
          <w:color w:val="000000"/>
          <w:sz w:val="32"/>
          <w:szCs w:val="32"/>
          <w:highlight w:val="none"/>
        </w:rPr>
        <w:t>4.4 提问质询</w:t>
      </w:r>
    </w:p>
    <w:p w14:paraId="400FA099">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验收工作组（专家组）在资料审查和现场核查过程中，对建设项目及其安全设施试生产情况、设计落实和变更情况、安全设施施工情况、安全设施施工监理情况、建设项目安全验收评价情况存在疑问的，应分别就发现的问题对建设单位、设计单位、施工单位、监理单位、安全评价单位进行当面提问质询，相关单位应正面进行说明和解答。</w:t>
      </w:r>
    </w:p>
    <w:p w14:paraId="2E9FC2B0">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3" w:firstLineChars="200"/>
        <w:jc w:val="both"/>
        <w:textAlignment w:val="auto"/>
        <w:outlineLvl w:val="9"/>
        <w:rPr>
          <w:rFonts w:hint="eastAsia" w:ascii="Times New Roman" w:hAnsi="Times New Roman" w:eastAsia="仿宋" w:cs="仿宋"/>
          <w:b/>
          <w:bCs/>
          <w:color w:val="000000"/>
          <w:sz w:val="32"/>
          <w:szCs w:val="32"/>
          <w:highlight w:val="none"/>
        </w:rPr>
      </w:pPr>
      <w:r>
        <w:rPr>
          <w:rFonts w:hint="eastAsia" w:ascii="Times New Roman" w:hAnsi="Times New Roman" w:eastAsia="仿宋" w:cs="仿宋"/>
          <w:b/>
          <w:bCs/>
          <w:color w:val="000000"/>
          <w:sz w:val="32"/>
          <w:szCs w:val="32"/>
          <w:highlight w:val="none"/>
        </w:rPr>
        <w:t>4.5 形成验收结论</w:t>
      </w:r>
    </w:p>
    <w:p w14:paraId="51AC1853">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验收工作组（专家组）结合资料审查、现场核查情况，参照《危险化学品建设项目安全设施验收审查要点》（见附件</w:t>
      </w:r>
      <w:r>
        <w:rPr>
          <w:rFonts w:hint="eastAsia" w:ascii="Times New Roman" w:hAnsi="Times New Roman" w:eastAsia="仿宋" w:cs="仿宋"/>
          <w:color w:val="000000"/>
          <w:sz w:val="32"/>
          <w:szCs w:val="32"/>
          <w:highlight w:val="none"/>
          <w:lang w:val="en-US" w:eastAsia="zh-CN"/>
        </w:rPr>
        <w:t>4-</w:t>
      </w:r>
      <w:r>
        <w:rPr>
          <w:rFonts w:hint="eastAsia" w:ascii="Times New Roman" w:hAnsi="Times New Roman" w:eastAsia="仿宋" w:cs="仿宋"/>
          <w:color w:val="000000"/>
          <w:sz w:val="32"/>
          <w:szCs w:val="32"/>
          <w:highlight w:val="none"/>
        </w:rPr>
        <w:t>1）的内容逐项进行审核，并经充分讨论联合审议形成验收结论意见，填写《危险化学品建设项目安全设施验收表》。验收结论应明确建设项目安全设施验收合格或不合格，验收工作组（专家组）对建设项目安全设施验收审核结果负责。</w:t>
      </w:r>
    </w:p>
    <w:p w14:paraId="333D1308">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3" w:firstLineChars="200"/>
        <w:jc w:val="both"/>
        <w:textAlignment w:val="auto"/>
        <w:outlineLvl w:val="9"/>
        <w:rPr>
          <w:rFonts w:hint="eastAsia" w:ascii="Times New Roman" w:hAnsi="Times New Roman" w:eastAsia="仿宋" w:cs="仿宋"/>
          <w:b/>
          <w:bCs/>
          <w:color w:val="000000"/>
          <w:sz w:val="32"/>
          <w:szCs w:val="32"/>
          <w:highlight w:val="none"/>
        </w:rPr>
      </w:pPr>
      <w:r>
        <w:rPr>
          <w:rFonts w:hint="eastAsia" w:ascii="Times New Roman" w:hAnsi="Times New Roman" w:eastAsia="仿宋" w:cs="仿宋"/>
          <w:b/>
          <w:bCs/>
          <w:color w:val="000000"/>
          <w:sz w:val="32"/>
          <w:szCs w:val="32"/>
          <w:highlight w:val="none"/>
        </w:rPr>
        <w:t>4.6 验收不合格的情形</w:t>
      </w:r>
    </w:p>
    <w:p w14:paraId="60FFD26B">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lang w:val="en-US" w:eastAsia="zh-CN"/>
        </w:rPr>
        <w:t>1</w:t>
      </w: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rPr>
        <w:t>未委托具备相应资质的施工单位施工的；</w:t>
      </w:r>
    </w:p>
    <w:p w14:paraId="2754DCCA">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lang w:val="en-US" w:eastAsia="zh-CN"/>
        </w:rPr>
        <w:t>2</w:t>
      </w: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rPr>
        <w:t>未按照已经通过审查的建设项目安全设施设计施工或者施工质量未达到建设项目安全设施设计文件要求的；</w:t>
      </w:r>
    </w:p>
    <w:p w14:paraId="1D0E685F">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lang w:val="en-US" w:eastAsia="zh-CN"/>
        </w:rPr>
        <w:t>3</w:t>
      </w: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rPr>
        <w:t>建设项目安全设施的施工不符合国家标准、行业标准的规定的；</w:t>
      </w:r>
    </w:p>
    <w:p w14:paraId="62F7E54D">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 xml:space="preserve">    </w:t>
      </w: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lang w:val="en-US" w:eastAsia="zh-CN"/>
        </w:rPr>
        <w:t>4</w:t>
      </w: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rPr>
        <w:t>建设项目安全设施竣工后未按照法律、法规规定进行检验、检测，或者经检验、检测不合格的；</w:t>
      </w:r>
    </w:p>
    <w:p w14:paraId="6282C793">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 xml:space="preserve">  </w:t>
      </w:r>
      <w:r>
        <w:rPr>
          <w:rFonts w:hint="eastAsia" w:ascii="Times New Roman" w:hAnsi="Times New Roman" w:eastAsia="仿宋" w:cs="仿宋"/>
          <w:color w:val="000000"/>
          <w:sz w:val="32"/>
          <w:szCs w:val="32"/>
          <w:highlight w:val="none"/>
          <w:lang w:val="en-US" w:eastAsia="zh-CN"/>
        </w:rPr>
        <w:t xml:space="preserve">  </w:t>
      </w: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lang w:val="en-US" w:eastAsia="zh-CN"/>
        </w:rPr>
        <w:t>5</w:t>
      </w: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rPr>
        <w:t>未委托具备相应资质的安全评价机构进行安全验收评价的或者安全验收评价不合格的；</w:t>
      </w:r>
    </w:p>
    <w:p w14:paraId="6FA82D80">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lang w:val="en-US" w:eastAsia="zh-CN"/>
        </w:rPr>
        <w:t>6</w:t>
      </w: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rPr>
        <w:t>安全设施和安全生产条件不符合或者未达到有关安全生产法律、法规、规章和国家标准或者行业标准、技术规范规定的；</w:t>
      </w:r>
    </w:p>
    <w:p w14:paraId="4F348E6C">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lang w:val="en-US" w:eastAsia="zh-CN"/>
        </w:rPr>
        <w:t>7</w:t>
      </w: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rPr>
        <w:t>安全验收评价报告存在重大缺陷、漏项，包括建设项目主要危险、有害因素辨识和评价不正确的；</w:t>
      </w:r>
    </w:p>
    <w:p w14:paraId="57E08D30">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lang w:val="en-US" w:eastAsia="zh-CN"/>
        </w:rPr>
        <w:t>8</w:t>
      </w: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rPr>
        <w:t>隐瞒有关情况或者提供虚假文件、资料的；</w:t>
      </w:r>
    </w:p>
    <w:p w14:paraId="3CE2A2D5">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lang w:val="en-US" w:eastAsia="zh-CN"/>
        </w:rPr>
        <w:t>9</w:t>
      </w: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rPr>
        <w:t>发现建设项目试运行期间存在事故隐患未整改的；</w:t>
      </w:r>
    </w:p>
    <w:p w14:paraId="3DABFA19">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lang w:val="en-US" w:eastAsia="zh-CN"/>
        </w:rPr>
        <w:t>10</w:t>
      </w: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rPr>
        <w:t>未依法设置安全生产管理机构或者配备安全生产管理人员的；</w:t>
      </w:r>
    </w:p>
    <w:p w14:paraId="2337C436">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lang w:val="en-US" w:eastAsia="zh-CN"/>
        </w:rPr>
        <w:t>11</w:t>
      </w: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rPr>
        <w:t>从业人员未经过安全生产教育和培训或者不具备相应资格的；</w:t>
      </w:r>
    </w:p>
    <w:p w14:paraId="08C87D9E">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lang w:val="en-US" w:eastAsia="zh-CN"/>
        </w:rPr>
        <w:t>12</w:t>
      </w:r>
      <w:r>
        <w:rPr>
          <w:rFonts w:hint="eastAsia" w:ascii="Times New Roman" w:hAnsi="Times New Roman" w:eastAsia="仿宋" w:cs="仿宋"/>
          <w:color w:val="000000"/>
          <w:sz w:val="32"/>
          <w:szCs w:val="32"/>
          <w:highlight w:val="none"/>
          <w:lang w:eastAsia="zh-CN"/>
        </w:rPr>
        <w:t>）</w:t>
      </w:r>
      <w:r>
        <w:rPr>
          <w:rFonts w:hint="eastAsia" w:ascii="Times New Roman" w:hAnsi="Times New Roman" w:eastAsia="仿宋" w:cs="仿宋"/>
          <w:color w:val="000000"/>
          <w:sz w:val="32"/>
          <w:szCs w:val="32"/>
          <w:highlight w:val="none"/>
        </w:rPr>
        <w:t>不符合法律、行政法规规定的其他条件的。</w:t>
      </w:r>
    </w:p>
    <w:p w14:paraId="775203B8">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3"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b/>
          <w:bCs/>
          <w:color w:val="000000"/>
          <w:sz w:val="32"/>
          <w:szCs w:val="32"/>
          <w:highlight w:val="none"/>
        </w:rPr>
        <w:t>5 验收结果处理</w:t>
      </w:r>
    </w:p>
    <w:p w14:paraId="378A9DD1">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3" w:firstLineChars="200"/>
        <w:jc w:val="both"/>
        <w:textAlignment w:val="auto"/>
        <w:outlineLvl w:val="9"/>
        <w:rPr>
          <w:rFonts w:hint="eastAsia" w:ascii="Times New Roman" w:hAnsi="Times New Roman" w:eastAsia="仿宋" w:cs="仿宋"/>
          <w:b/>
          <w:bCs/>
          <w:color w:val="000000"/>
          <w:sz w:val="32"/>
          <w:szCs w:val="32"/>
          <w:highlight w:val="none"/>
        </w:rPr>
      </w:pPr>
      <w:r>
        <w:rPr>
          <w:rFonts w:hint="eastAsia" w:ascii="Times New Roman" w:hAnsi="Times New Roman" w:eastAsia="仿宋" w:cs="仿宋"/>
          <w:b/>
          <w:bCs/>
          <w:color w:val="000000"/>
          <w:sz w:val="32"/>
          <w:szCs w:val="32"/>
          <w:highlight w:val="none"/>
        </w:rPr>
        <w:t>5.1验收工作情况及结果告知和申请相关许可</w:t>
      </w:r>
    </w:p>
    <w:p w14:paraId="782A0787">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kern w:val="0"/>
          <w:sz w:val="32"/>
          <w:szCs w:val="32"/>
          <w:highlight w:val="none"/>
          <w:lang w:val="zh-TW"/>
        </w:rPr>
      </w:pPr>
      <w:r>
        <w:rPr>
          <w:rFonts w:hint="eastAsia" w:ascii="Times New Roman" w:hAnsi="Times New Roman" w:eastAsia="仿宋" w:cs="仿宋"/>
          <w:color w:val="000000"/>
          <w:kern w:val="0"/>
          <w:sz w:val="32"/>
          <w:szCs w:val="32"/>
          <w:highlight w:val="none"/>
          <w:shd w:val="clear" w:color="auto" w:fill="auto"/>
          <w:lang w:val="zh-TW"/>
        </w:rPr>
        <w:t>建设项目安全设施验收合格的，建设单位应在验收工作完成</w:t>
      </w:r>
      <w:r>
        <w:rPr>
          <w:rFonts w:hint="eastAsia" w:ascii="Times New Roman" w:hAnsi="Times New Roman" w:eastAsia="仿宋" w:cs="仿宋"/>
          <w:color w:val="000000"/>
          <w:kern w:val="0"/>
          <w:sz w:val="32"/>
          <w:szCs w:val="32"/>
          <w:highlight w:val="none"/>
          <w:lang w:val="zh-TW"/>
        </w:rPr>
        <w:t>后</w:t>
      </w:r>
      <w:r>
        <w:rPr>
          <w:rFonts w:hint="eastAsia" w:ascii="Times New Roman" w:hAnsi="Times New Roman" w:eastAsia="仿宋" w:cs="仿宋"/>
          <w:color w:val="000000"/>
          <w:kern w:val="0"/>
          <w:sz w:val="32"/>
          <w:szCs w:val="32"/>
          <w:highlight w:val="none"/>
          <w:shd w:val="clear" w:color="auto" w:fill="auto"/>
          <w:lang w:val="zh-TW"/>
        </w:rPr>
        <w:t>10个工作日内，</w:t>
      </w:r>
      <w:r>
        <w:rPr>
          <w:rFonts w:hint="eastAsia" w:ascii="Times New Roman" w:hAnsi="Times New Roman" w:eastAsia="仿宋" w:cs="仿宋"/>
          <w:color w:val="000000"/>
          <w:kern w:val="0"/>
          <w:sz w:val="32"/>
          <w:szCs w:val="32"/>
          <w:highlight w:val="none"/>
          <w:lang w:val="zh-TW"/>
        </w:rPr>
        <w:t>将验收活动情况及结果函告负责建设项目安全设施设计审查的</w:t>
      </w:r>
      <w:r>
        <w:rPr>
          <w:rFonts w:hint="eastAsia" w:ascii="Times New Roman" w:hAnsi="Times New Roman" w:eastAsia="仿宋" w:cs="仿宋"/>
          <w:color w:val="000000"/>
          <w:kern w:val="0"/>
          <w:sz w:val="32"/>
          <w:szCs w:val="32"/>
          <w:highlight w:val="none"/>
          <w:lang w:val="zh-TW" w:eastAsia="zh-CN"/>
        </w:rPr>
        <w:t>应急管理</w:t>
      </w:r>
      <w:r>
        <w:rPr>
          <w:rFonts w:hint="eastAsia" w:ascii="Times New Roman" w:hAnsi="Times New Roman" w:eastAsia="仿宋" w:cs="仿宋"/>
          <w:color w:val="000000"/>
          <w:kern w:val="0"/>
          <w:sz w:val="32"/>
          <w:szCs w:val="32"/>
          <w:highlight w:val="none"/>
          <w:lang w:val="zh-TW"/>
        </w:rPr>
        <w:t>部门并抄送建设项目所在地的</w:t>
      </w:r>
      <w:r>
        <w:rPr>
          <w:rFonts w:hint="eastAsia" w:ascii="Times New Roman" w:hAnsi="Times New Roman" w:eastAsia="仿宋" w:cs="仿宋"/>
          <w:color w:val="000000"/>
          <w:kern w:val="0"/>
          <w:sz w:val="32"/>
          <w:szCs w:val="32"/>
          <w:highlight w:val="none"/>
          <w:lang w:val="zh-TW" w:eastAsia="zh-CN"/>
        </w:rPr>
        <w:t>应急管理</w:t>
      </w:r>
      <w:r>
        <w:rPr>
          <w:rFonts w:hint="eastAsia" w:ascii="Times New Roman" w:hAnsi="Times New Roman" w:eastAsia="仿宋" w:cs="仿宋"/>
          <w:color w:val="000000"/>
          <w:kern w:val="0"/>
          <w:sz w:val="32"/>
          <w:szCs w:val="32"/>
          <w:highlight w:val="none"/>
          <w:lang w:val="zh-TW"/>
        </w:rPr>
        <w:t>部门，并附上《</w:t>
      </w:r>
      <w:r>
        <w:rPr>
          <w:rFonts w:hint="eastAsia" w:ascii="Times New Roman" w:hAnsi="Times New Roman" w:eastAsia="仿宋" w:cs="仿宋"/>
          <w:color w:val="000000"/>
          <w:kern w:val="0"/>
          <w:sz w:val="32"/>
          <w:szCs w:val="32"/>
          <w:highlight w:val="none"/>
          <w:shd w:val="clear" w:color="auto" w:fill="auto"/>
          <w:lang w:val="zh-TW"/>
        </w:rPr>
        <w:t>危险化学品建设项目安全设施</w:t>
      </w:r>
      <w:r>
        <w:rPr>
          <w:rFonts w:hint="eastAsia" w:ascii="Times New Roman" w:hAnsi="Times New Roman" w:eastAsia="仿宋" w:cs="仿宋"/>
          <w:color w:val="000000"/>
          <w:kern w:val="0"/>
          <w:sz w:val="32"/>
          <w:szCs w:val="32"/>
          <w:highlight w:val="none"/>
          <w:lang w:val="zh-TW"/>
        </w:rPr>
        <w:t>验收表》；同时</w:t>
      </w:r>
      <w:r>
        <w:rPr>
          <w:rFonts w:hint="eastAsia" w:ascii="Times New Roman" w:hAnsi="Times New Roman" w:eastAsia="仿宋" w:cs="仿宋"/>
          <w:color w:val="000000"/>
          <w:kern w:val="0"/>
          <w:sz w:val="32"/>
          <w:szCs w:val="32"/>
          <w:highlight w:val="none"/>
          <w:shd w:val="clear" w:color="auto" w:fill="auto"/>
          <w:lang w:val="zh-TW"/>
        </w:rPr>
        <w:t>按照国家和省有关规章、规范性文件的要求，提交规定的文件、资料，申请办理危险化学品企业相关安全生产行政许可手续。</w:t>
      </w:r>
    </w:p>
    <w:p w14:paraId="0E3C6ACA">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3" w:firstLineChars="200"/>
        <w:jc w:val="both"/>
        <w:textAlignment w:val="auto"/>
        <w:outlineLvl w:val="9"/>
        <w:rPr>
          <w:rFonts w:hint="eastAsia" w:ascii="Times New Roman" w:hAnsi="Times New Roman" w:eastAsia="仿宋" w:cs="仿宋"/>
          <w:b/>
          <w:bCs/>
          <w:color w:val="000000"/>
          <w:sz w:val="32"/>
          <w:szCs w:val="32"/>
          <w:highlight w:val="none"/>
        </w:rPr>
      </w:pPr>
      <w:r>
        <w:rPr>
          <w:rFonts w:hint="eastAsia" w:ascii="Times New Roman" w:hAnsi="Times New Roman" w:eastAsia="仿宋" w:cs="仿宋"/>
          <w:b/>
          <w:bCs/>
          <w:color w:val="000000"/>
          <w:sz w:val="32"/>
          <w:szCs w:val="32"/>
          <w:highlight w:val="none"/>
        </w:rPr>
        <w:t>5.2 验收工作中发现隐患问题的整改</w:t>
      </w:r>
    </w:p>
    <w:p w14:paraId="58F3026D">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建设项目安全设施验收工作过程中，验收工作组（专家组）提出存在隐患问题的，建设单位应按照“五定”（定整改方案、定资金来源、定项目负责人、定整改期限、定控制措施）的原则，制定详细的整改计划，落实各项整改措施。承担建设项目验收安全评价的机构对隐患问题整改情况进行现场审核，确认整改合格并出具相应审核意见。对建设项目安全设施验收不合格的，建设单位对存在的隐患问题整改符合后可以再次组织建设项目安全设施验收。</w:t>
      </w:r>
    </w:p>
    <w:p w14:paraId="09C6383A">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3" w:firstLineChars="200"/>
        <w:jc w:val="both"/>
        <w:textAlignment w:val="auto"/>
        <w:outlineLvl w:val="9"/>
        <w:rPr>
          <w:rFonts w:hint="eastAsia" w:ascii="Times New Roman" w:hAnsi="Times New Roman" w:eastAsia="仿宋" w:cs="仿宋"/>
          <w:b/>
          <w:bCs/>
          <w:color w:val="000000"/>
          <w:sz w:val="32"/>
          <w:szCs w:val="32"/>
          <w:highlight w:val="none"/>
        </w:rPr>
      </w:pPr>
      <w:r>
        <w:rPr>
          <w:rFonts w:hint="eastAsia" w:ascii="Times New Roman" w:hAnsi="Times New Roman" w:eastAsia="仿宋" w:cs="仿宋"/>
          <w:b/>
          <w:bCs/>
          <w:color w:val="000000"/>
          <w:sz w:val="32"/>
          <w:szCs w:val="32"/>
          <w:highlight w:val="none"/>
        </w:rPr>
        <w:t>6 验收档案管理</w:t>
      </w:r>
    </w:p>
    <w:p w14:paraId="071F3D84">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建设单位应在建设项目安全设施验收工作完成后将建设项目安全设施施工、监理情况报告、建设项目安全验收评价报告、试生产（使用）期间是否发生事故、采取的防范措施以及整改情况报告和其它需要留存的相关资料整理归档。归档资料包括但不限于《危险化学品建设项目安全设施竣工验收归档资料清单》（见附件</w:t>
      </w:r>
      <w:r>
        <w:rPr>
          <w:rFonts w:hint="eastAsia" w:ascii="Times New Roman" w:hAnsi="Times New Roman" w:eastAsia="仿宋" w:cs="仿宋"/>
          <w:color w:val="000000"/>
          <w:sz w:val="32"/>
          <w:szCs w:val="32"/>
          <w:highlight w:val="none"/>
          <w:lang w:val="en-US" w:eastAsia="zh-CN"/>
        </w:rPr>
        <w:t>4-</w:t>
      </w:r>
      <w:r>
        <w:rPr>
          <w:rFonts w:hint="eastAsia" w:ascii="Times New Roman" w:hAnsi="Times New Roman" w:eastAsia="仿宋" w:cs="仿宋"/>
          <w:color w:val="000000"/>
          <w:sz w:val="32"/>
          <w:szCs w:val="32"/>
          <w:highlight w:val="none"/>
        </w:rPr>
        <w:t>2）中的内容。</w:t>
      </w:r>
    </w:p>
    <w:p w14:paraId="7FDDA299">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3"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b/>
          <w:bCs/>
          <w:color w:val="000000"/>
          <w:sz w:val="32"/>
          <w:szCs w:val="32"/>
          <w:highlight w:val="none"/>
        </w:rPr>
        <w:t>7 附则</w:t>
      </w:r>
      <w:r>
        <w:rPr>
          <w:rFonts w:hint="eastAsia" w:ascii="Times New Roman" w:hAnsi="Times New Roman" w:eastAsia="仿宋" w:cs="仿宋"/>
          <w:color w:val="000000"/>
          <w:sz w:val="32"/>
          <w:szCs w:val="32"/>
          <w:highlight w:val="none"/>
        </w:rPr>
        <w:t xml:space="preserve"> </w:t>
      </w:r>
    </w:p>
    <w:p w14:paraId="09F141EE">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建设单位可根据实际情况，</w:t>
      </w:r>
      <w:r>
        <w:rPr>
          <w:rStyle w:val="17"/>
          <w:rFonts w:hint="eastAsia" w:ascii="Times New Roman" w:hAnsi="Times New Roman" w:eastAsia="仿宋" w:cs="仿宋"/>
          <w:b w:val="0"/>
          <w:bCs/>
          <w:color w:val="000000"/>
          <w:kern w:val="0"/>
          <w:sz w:val="32"/>
          <w:szCs w:val="32"/>
          <w:highlight w:val="none"/>
        </w:rPr>
        <w:t>对</w:t>
      </w:r>
      <w:r>
        <w:rPr>
          <w:rStyle w:val="17"/>
          <w:rFonts w:hint="eastAsia" w:ascii="Times New Roman" w:hAnsi="Times New Roman" w:eastAsia="仿宋" w:cs="仿宋"/>
          <w:b w:val="0"/>
          <w:bCs/>
          <w:color w:val="000000"/>
          <w:kern w:val="0"/>
          <w:sz w:val="32"/>
          <w:szCs w:val="32"/>
          <w:highlight w:val="none"/>
          <w:lang w:eastAsia="zh-CN"/>
        </w:rPr>
        <w:t>适用</w:t>
      </w:r>
      <w:r>
        <w:rPr>
          <w:rFonts w:hint="eastAsia" w:ascii="Times New Roman" w:hAnsi="Times New Roman" w:eastAsia="仿宋" w:cs="仿宋"/>
          <w:color w:val="000000"/>
          <w:sz w:val="32"/>
          <w:szCs w:val="32"/>
          <w:highlight w:val="none"/>
        </w:rPr>
        <w:t>简化程序的建设项目，可适当简化建设项目安全设施验收组织工作，直接委托具备相应资质的安全评价机构协助开展验收工作并出具验收评价报告。安全评价人员同时对《危险化学品建设项目安全设施验收审查要点》内容进行</w:t>
      </w:r>
      <w:r>
        <w:rPr>
          <w:rFonts w:hint="eastAsia" w:ascii="Times New Roman" w:hAnsi="Times New Roman" w:eastAsia="仿宋" w:cs="仿宋"/>
          <w:color w:val="000000"/>
          <w:sz w:val="32"/>
          <w:szCs w:val="32"/>
          <w:highlight w:val="none"/>
          <w:lang w:eastAsia="zh-CN"/>
        </w:rPr>
        <w:t>检查</w:t>
      </w:r>
      <w:r>
        <w:rPr>
          <w:rFonts w:hint="eastAsia" w:ascii="Times New Roman" w:hAnsi="Times New Roman" w:eastAsia="仿宋" w:cs="仿宋"/>
          <w:color w:val="000000"/>
          <w:sz w:val="32"/>
          <w:szCs w:val="32"/>
          <w:highlight w:val="none"/>
        </w:rPr>
        <w:t>审核并在“审查意见”、“审查结论”和“验收工作组对整改意见的整改完成情况确认”栏目签署意见。《危险化学品建设项目安全设施验收表》的“验收工作组验收意见”和“参加验收单位代表意见”由安全验收评价报告结论替代。建设项目安全设施验收结果处理和档案管理按照本指引第5、第6条规定办理。安全评价机构及评价人员对出具的建设项目安全验收评价报告和审查的内容及结论负责。</w:t>
      </w:r>
    </w:p>
    <w:p w14:paraId="00C0240F">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 xml:space="preserve">    </w:t>
      </w:r>
    </w:p>
    <w:p w14:paraId="0E53F560">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lang w:val="en-US" w:eastAsia="zh-CN"/>
        </w:rPr>
        <w:t xml:space="preserve">    </w:t>
      </w:r>
      <w:r>
        <w:rPr>
          <w:rFonts w:hint="eastAsia" w:ascii="Times New Roman" w:hAnsi="Times New Roman" w:eastAsia="仿宋" w:cs="仿宋"/>
          <w:color w:val="000000"/>
          <w:sz w:val="32"/>
          <w:szCs w:val="32"/>
          <w:highlight w:val="none"/>
        </w:rPr>
        <w:t>附件：</w:t>
      </w:r>
      <w:r>
        <w:rPr>
          <w:rFonts w:hint="eastAsia" w:ascii="Times New Roman" w:hAnsi="Times New Roman" w:eastAsia="仿宋" w:cs="仿宋"/>
          <w:color w:val="000000"/>
          <w:sz w:val="32"/>
          <w:szCs w:val="32"/>
          <w:highlight w:val="none"/>
          <w:lang w:val="en-US" w:eastAsia="zh-CN"/>
        </w:rPr>
        <w:t>4-</w:t>
      </w:r>
      <w:r>
        <w:rPr>
          <w:rFonts w:hint="eastAsia" w:ascii="Times New Roman" w:hAnsi="Times New Roman" w:eastAsia="仿宋" w:cs="仿宋"/>
          <w:color w:val="000000"/>
          <w:sz w:val="32"/>
          <w:szCs w:val="32"/>
          <w:highlight w:val="none"/>
        </w:rPr>
        <w:t xml:space="preserve">1.危险化学品建设项目安全设施验收审查要点     </w:t>
      </w:r>
    </w:p>
    <w:p w14:paraId="79F94C52">
      <w:pPr>
        <w:keepNext w:val="0"/>
        <w:keepLines w:val="0"/>
        <w:pageBreakBefore w:val="0"/>
        <w:widowControl w:val="0"/>
        <w:kinsoku/>
        <w:wordWrap/>
        <w:overflowPunct/>
        <w:topLinePunct w:val="0"/>
        <w:autoSpaceDE/>
        <w:autoSpaceDN/>
        <w:bidi w:val="0"/>
        <w:adjustRightInd/>
        <w:snapToGrid/>
        <w:spacing w:line="556" w:lineRule="exact"/>
        <w:ind w:left="2560" w:leftChars="0" w:right="0" w:rightChars="0" w:hanging="2560" w:hangingChars="8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 xml:space="preserve">          </w:t>
      </w:r>
      <w:r>
        <w:rPr>
          <w:rFonts w:hint="eastAsia" w:ascii="Times New Roman" w:hAnsi="Times New Roman" w:eastAsia="仿宋" w:cs="仿宋"/>
          <w:color w:val="000000"/>
          <w:sz w:val="32"/>
          <w:szCs w:val="32"/>
          <w:highlight w:val="none"/>
          <w:lang w:val="en-US" w:eastAsia="zh-CN"/>
        </w:rPr>
        <w:t>4-</w:t>
      </w:r>
      <w:r>
        <w:rPr>
          <w:rFonts w:hint="eastAsia" w:ascii="Times New Roman" w:hAnsi="Times New Roman" w:eastAsia="仿宋" w:cs="仿宋"/>
          <w:color w:val="000000"/>
          <w:sz w:val="32"/>
          <w:szCs w:val="32"/>
          <w:highlight w:val="none"/>
        </w:rPr>
        <w:t>2.</w:t>
      </w:r>
      <w:r>
        <w:rPr>
          <w:rFonts w:hint="eastAsia" w:ascii="Times New Roman" w:hAnsi="Times New Roman" w:eastAsia="仿宋" w:cs="仿宋"/>
          <w:color w:val="000000"/>
          <w:spacing w:val="-11"/>
          <w:w w:val="96"/>
          <w:sz w:val="32"/>
          <w:szCs w:val="32"/>
          <w:highlight w:val="none"/>
        </w:rPr>
        <w:t>危险化学品建设项目安全设施</w:t>
      </w:r>
      <w:r>
        <w:rPr>
          <w:rFonts w:hint="eastAsia" w:ascii="Times New Roman" w:hAnsi="Times New Roman" w:eastAsia="仿宋" w:cs="仿宋"/>
          <w:color w:val="000000"/>
          <w:spacing w:val="-11"/>
          <w:w w:val="96"/>
          <w:sz w:val="32"/>
          <w:szCs w:val="32"/>
          <w:highlight w:val="none"/>
          <w:lang w:eastAsia="zh-CN"/>
        </w:rPr>
        <w:t>竣工</w:t>
      </w:r>
      <w:r>
        <w:rPr>
          <w:rFonts w:hint="eastAsia" w:ascii="Times New Roman" w:hAnsi="Times New Roman" w:eastAsia="仿宋" w:cs="仿宋"/>
          <w:color w:val="000000"/>
          <w:spacing w:val="-11"/>
          <w:w w:val="96"/>
          <w:sz w:val="32"/>
          <w:szCs w:val="32"/>
          <w:highlight w:val="none"/>
        </w:rPr>
        <w:t>验收归档资料清</w:t>
      </w:r>
      <w:r>
        <w:rPr>
          <w:rFonts w:hint="eastAsia" w:ascii="Times New Roman" w:hAnsi="Times New Roman" w:eastAsia="仿宋" w:cs="仿宋"/>
          <w:color w:val="000000"/>
          <w:spacing w:val="-11"/>
          <w:sz w:val="32"/>
          <w:szCs w:val="32"/>
          <w:highlight w:val="none"/>
        </w:rPr>
        <w:t>单</w:t>
      </w:r>
    </w:p>
    <w:p w14:paraId="62071A87">
      <w:pPr>
        <w:keepNext w:val="0"/>
        <w:keepLines w:val="0"/>
        <w:pageBreakBefore w:val="0"/>
        <w:widowControl w:val="0"/>
        <w:kinsoku/>
        <w:wordWrap/>
        <w:overflowPunct/>
        <w:topLinePunct w:val="0"/>
        <w:autoSpaceDE/>
        <w:autoSpaceDN/>
        <w:bidi w:val="0"/>
        <w:adjustRightInd/>
        <w:snapToGrid/>
        <w:spacing w:line="556" w:lineRule="exact"/>
        <w:ind w:left="2560" w:leftChars="0" w:right="0" w:rightChars="0" w:hanging="2560" w:hangingChars="8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 xml:space="preserve">          </w:t>
      </w:r>
      <w:r>
        <w:rPr>
          <w:rFonts w:hint="eastAsia" w:ascii="Times New Roman" w:hAnsi="Times New Roman" w:eastAsia="仿宋" w:cs="仿宋"/>
          <w:color w:val="000000"/>
          <w:sz w:val="32"/>
          <w:szCs w:val="32"/>
          <w:highlight w:val="none"/>
          <w:lang w:val="en-US" w:eastAsia="zh-CN"/>
        </w:rPr>
        <w:t>4-</w:t>
      </w:r>
      <w:r>
        <w:rPr>
          <w:rFonts w:hint="eastAsia" w:ascii="Times New Roman" w:hAnsi="Times New Roman" w:eastAsia="仿宋" w:cs="仿宋"/>
          <w:color w:val="000000"/>
          <w:sz w:val="32"/>
          <w:szCs w:val="32"/>
          <w:highlight w:val="none"/>
        </w:rPr>
        <w:t>3.</w:t>
      </w:r>
      <w:r>
        <w:rPr>
          <w:rFonts w:hint="eastAsia" w:ascii="Times New Roman" w:hAnsi="Times New Roman" w:eastAsia="仿宋" w:cs="仿宋"/>
          <w:color w:val="000000"/>
          <w:spacing w:val="-6"/>
          <w:sz w:val="32"/>
          <w:szCs w:val="32"/>
          <w:highlight w:val="none"/>
        </w:rPr>
        <w:t>危险化学品建设项目安全设施验收工作流程简图</w:t>
      </w:r>
    </w:p>
    <w:p w14:paraId="6315B779">
      <w:pPr>
        <w:pStyle w:val="14"/>
        <w:rPr>
          <w:rFonts w:hint="default" w:ascii="Times New Roman" w:hAnsi="Times New Roman" w:eastAsia="方正仿宋_GBK" w:cs="Times New Roman"/>
          <w:color w:val="000000"/>
          <w:sz w:val="32"/>
          <w:szCs w:val="30"/>
          <w:highlight w:val="none"/>
        </w:rPr>
        <w:sectPr>
          <w:pgSz w:w="11906" w:h="16838"/>
          <w:pgMar w:top="1984" w:right="1531" w:bottom="1984" w:left="1531" w:header="851" w:footer="1361" w:gutter="0"/>
          <w:pgNumType w:fmt="decimal"/>
          <w:cols w:space="0" w:num="1"/>
          <w:rtlGutter w:val="0"/>
          <w:docGrid w:type="lines" w:linePitch="313" w:charSpace="0"/>
        </w:sectPr>
      </w:pPr>
    </w:p>
    <w:p w14:paraId="509B7857">
      <w:pPr>
        <w:keepNext w:val="0"/>
        <w:keepLines w:val="0"/>
        <w:pageBreakBefore w:val="0"/>
        <w:widowControl w:val="0"/>
        <w:kinsoku/>
        <w:overflowPunct/>
        <w:topLinePunct w:val="0"/>
        <w:autoSpaceDE/>
        <w:autoSpaceDN/>
        <w:bidi w:val="0"/>
        <w:adjustRightInd/>
        <w:snapToGrid/>
        <w:spacing w:line="580" w:lineRule="exact"/>
        <w:ind w:left="0" w:leftChars="0"/>
        <w:rPr>
          <w:rFonts w:hint="eastAsia" w:ascii="Times New Roman" w:hAnsi="Times New Roman" w:eastAsia="黑体" w:cs="黑体"/>
          <w:bCs/>
          <w:color w:val="000000"/>
          <w:sz w:val="32"/>
          <w:szCs w:val="32"/>
          <w:highlight w:val="none"/>
        </w:rPr>
      </w:pPr>
      <w:r>
        <w:rPr>
          <w:rFonts w:hint="eastAsia" w:ascii="Times New Roman" w:hAnsi="Times New Roman" w:eastAsia="黑体" w:cs="黑体"/>
          <w:bCs/>
          <w:color w:val="000000"/>
          <w:sz w:val="32"/>
          <w:szCs w:val="32"/>
          <w:highlight w:val="none"/>
        </w:rPr>
        <w:t>附件</w:t>
      </w:r>
      <w:r>
        <w:rPr>
          <w:rFonts w:hint="eastAsia" w:ascii="Times New Roman" w:hAnsi="Times New Roman" w:eastAsia="黑体" w:cs="黑体"/>
          <w:bCs/>
          <w:color w:val="000000"/>
          <w:sz w:val="32"/>
          <w:szCs w:val="32"/>
          <w:highlight w:val="none"/>
          <w:lang w:val="en-US" w:eastAsia="zh-CN"/>
        </w:rPr>
        <w:t>4-</w:t>
      </w:r>
      <w:r>
        <w:rPr>
          <w:rFonts w:hint="eastAsia" w:ascii="Times New Roman" w:hAnsi="Times New Roman" w:eastAsia="黑体" w:cs="黑体"/>
          <w:bCs/>
          <w:color w:val="000000"/>
          <w:sz w:val="32"/>
          <w:szCs w:val="32"/>
          <w:highlight w:val="none"/>
        </w:rPr>
        <w:t>1</w:t>
      </w:r>
    </w:p>
    <w:p w14:paraId="626F94CF">
      <w:pPr>
        <w:pStyle w:val="14"/>
        <w:spacing w:line="240" w:lineRule="exact"/>
        <w:rPr>
          <w:rFonts w:hint="default" w:ascii="Times New Roman" w:hAnsi="Times New Roman" w:eastAsia="方正仿宋_GBK" w:cs="Times New Roman"/>
          <w:bCs/>
          <w:color w:val="000000"/>
          <w:sz w:val="32"/>
          <w:szCs w:val="30"/>
          <w:highlight w:val="none"/>
          <w:lang w:eastAsia="zh-CN"/>
        </w:rPr>
      </w:pPr>
    </w:p>
    <w:p w14:paraId="36B3B677">
      <w:pPr>
        <w:keepNext w:val="0"/>
        <w:keepLines w:val="0"/>
        <w:pageBreakBefore w:val="0"/>
        <w:widowControl w:val="0"/>
        <w:kinsoku/>
        <w:overflowPunct/>
        <w:topLinePunct w:val="0"/>
        <w:autoSpaceDE/>
        <w:autoSpaceDN/>
        <w:bidi w:val="0"/>
        <w:adjustRightInd/>
        <w:snapToGrid/>
        <w:spacing w:line="580" w:lineRule="exact"/>
        <w:ind w:left="0" w:leftChars="0"/>
        <w:jc w:val="center"/>
        <w:rPr>
          <w:rFonts w:hint="eastAsia" w:ascii="Times New Roman" w:hAnsi="Times New Roman" w:eastAsia="方正小标宋简体" w:cs="方正小标宋简体"/>
          <w:color w:val="000000"/>
          <w:sz w:val="44"/>
          <w:szCs w:val="44"/>
          <w:highlight w:val="none"/>
        </w:rPr>
      </w:pPr>
      <w:r>
        <w:rPr>
          <w:rFonts w:hint="eastAsia" w:ascii="Times New Roman" w:hAnsi="Times New Roman" w:eastAsia="方正小标宋简体" w:cs="方正小标宋简体"/>
          <w:b w:val="0"/>
          <w:bCs w:val="0"/>
          <w:color w:val="000000"/>
          <w:sz w:val="44"/>
          <w:szCs w:val="44"/>
          <w:highlight w:val="none"/>
        </w:rPr>
        <w:t>危险化学品建设项目安全设施验收审查要点</w:t>
      </w:r>
    </w:p>
    <w:p w14:paraId="10219D5F">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0" w:firstLineChars="0"/>
        <w:jc w:val="center"/>
        <w:textAlignment w:val="auto"/>
        <w:outlineLvl w:val="9"/>
        <w:rPr>
          <w:rFonts w:hint="eastAsia" w:ascii="Times New Roman" w:hAnsi="Times New Roman"/>
          <w:b/>
          <w:bCs/>
          <w:color w:val="000000"/>
          <w:szCs w:val="21"/>
          <w:highlight w:val="none"/>
        </w:rPr>
      </w:pPr>
    </w:p>
    <w:tbl>
      <w:tblPr>
        <w:tblStyle w:val="15"/>
        <w:tblW w:w="93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6"/>
        <w:gridCol w:w="31"/>
        <w:gridCol w:w="105"/>
        <w:gridCol w:w="707"/>
        <w:gridCol w:w="477"/>
        <w:gridCol w:w="72"/>
        <w:gridCol w:w="2616"/>
        <w:gridCol w:w="1451"/>
        <w:gridCol w:w="1185"/>
        <w:gridCol w:w="2085"/>
      </w:tblGrid>
      <w:tr w14:paraId="47A8D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exact"/>
          <w:jc w:val="center"/>
        </w:trPr>
        <w:tc>
          <w:tcPr>
            <w:tcW w:w="1429" w:type="dxa"/>
            <w:gridSpan w:val="4"/>
            <w:vAlign w:val="center"/>
          </w:tcPr>
          <w:p w14:paraId="045DBA58">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建设单位</w:t>
            </w:r>
          </w:p>
        </w:tc>
        <w:tc>
          <w:tcPr>
            <w:tcW w:w="7886" w:type="dxa"/>
            <w:gridSpan w:val="6"/>
            <w:vAlign w:val="center"/>
          </w:tcPr>
          <w:p w14:paraId="41DD260F">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color w:val="000000"/>
                <w:sz w:val="24"/>
                <w:szCs w:val="24"/>
                <w:highlight w:val="none"/>
              </w:rPr>
            </w:pPr>
          </w:p>
        </w:tc>
      </w:tr>
      <w:tr w14:paraId="28140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exact"/>
          <w:jc w:val="center"/>
        </w:trPr>
        <w:tc>
          <w:tcPr>
            <w:tcW w:w="1429" w:type="dxa"/>
            <w:gridSpan w:val="4"/>
            <w:vAlign w:val="center"/>
          </w:tcPr>
          <w:p w14:paraId="0576ED1F">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项目名称</w:t>
            </w:r>
          </w:p>
        </w:tc>
        <w:tc>
          <w:tcPr>
            <w:tcW w:w="7886" w:type="dxa"/>
            <w:gridSpan w:val="6"/>
            <w:vAlign w:val="center"/>
          </w:tcPr>
          <w:p w14:paraId="73047FEB">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color w:val="000000"/>
                <w:sz w:val="24"/>
                <w:szCs w:val="24"/>
                <w:highlight w:val="none"/>
              </w:rPr>
            </w:pPr>
          </w:p>
        </w:tc>
      </w:tr>
      <w:tr w14:paraId="5F7F5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exact"/>
          <w:jc w:val="center"/>
        </w:trPr>
        <w:tc>
          <w:tcPr>
            <w:tcW w:w="1429" w:type="dxa"/>
            <w:gridSpan w:val="4"/>
            <w:vAlign w:val="center"/>
          </w:tcPr>
          <w:p w14:paraId="4E6A7BB5">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项目类型</w:t>
            </w:r>
          </w:p>
        </w:tc>
        <w:tc>
          <w:tcPr>
            <w:tcW w:w="7886" w:type="dxa"/>
            <w:gridSpan w:val="6"/>
            <w:vAlign w:val="center"/>
          </w:tcPr>
          <w:p w14:paraId="2CDABB1D">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30"/>
                <w:szCs w:val="30"/>
                <w:highlight w:val="none"/>
              </w:rPr>
            </w:pPr>
            <w:r>
              <w:rPr>
                <w:rFonts w:hint="eastAsia" w:ascii="Times New Roman" w:hAnsi="Times New Roman" w:eastAsia="仿宋" w:cs="仿宋"/>
                <w:color w:val="000000"/>
                <w:sz w:val="24"/>
                <w:szCs w:val="24"/>
                <w:highlight w:val="none"/>
              </w:rPr>
              <w:t xml:space="preserve">    新建</w:t>
            </w:r>
            <w:r>
              <w:rPr>
                <w:rFonts w:hint="eastAsia" w:ascii="Times New Roman" w:hAnsi="Times New Roman" w:eastAsia="仿宋" w:cs="仿宋"/>
                <w:color w:val="000000"/>
                <w:sz w:val="28"/>
                <w:szCs w:val="28"/>
                <w:highlight w:val="none"/>
              </w:rPr>
              <w:t>□</w:t>
            </w:r>
            <w:r>
              <w:rPr>
                <w:rFonts w:hint="eastAsia" w:ascii="Times New Roman" w:hAnsi="Times New Roman" w:eastAsia="仿宋" w:cs="仿宋"/>
                <w:color w:val="000000"/>
                <w:sz w:val="24"/>
                <w:szCs w:val="24"/>
                <w:highlight w:val="none"/>
              </w:rPr>
              <w:t xml:space="preserve">     改建</w:t>
            </w:r>
            <w:r>
              <w:rPr>
                <w:rFonts w:hint="eastAsia" w:ascii="Times New Roman" w:hAnsi="Times New Roman" w:eastAsia="仿宋" w:cs="仿宋"/>
                <w:color w:val="000000"/>
                <w:sz w:val="28"/>
                <w:szCs w:val="28"/>
                <w:highlight w:val="none"/>
              </w:rPr>
              <w:t xml:space="preserve">□ </w:t>
            </w:r>
            <w:r>
              <w:rPr>
                <w:rFonts w:hint="eastAsia" w:ascii="Times New Roman" w:hAnsi="Times New Roman" w:eastAsia="仿宋" w:cs="仿宋"/>
                <w:color w:val="000000"/>
                <w:sz w:val="24"/>
                <w:szCs w:val="24"/>
                <w:highlight w:val="none"/>
              </w:rPr>
              <w:t xml:space="preserve">    扩建</w:t>
            </w:r>
            <w:r>
              <w:rPr>
                <w:rFonts w:hint="eastAsia" w:ascii="Times New Roman" w:hAnsi="Times New Roman" w:eastAsia="仿宋" w:cs="仿宋"/>
                <w:color w:val="000000"/>
                <w:sz w:val="28"/>
                <w:szCs w:val="28"/>
                <w:highlight w:val="none"/>
              </w:rPr>
              <w:t>□</w:t>
            </w:r>
          </w:p>
        </w:tc>
      </w:tr>
      <w:tr w14:paraId="757F0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29" w:type="dxa"/>
            <w:gridSpan w:val="4"/>
            <w:vAlign w:val="center"/>
          </w:tcPr>
          <w:p w14:paraId="6D38A8B6">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审查地点</w:t>
            </w:r>
          </w:p>
        </w:tc>
        <w:tc>
          <w:tcPr>
            <w:tcW w:w="3165" w:type="dxa"/>
            <w:gridSpan w:val="3"/>
            <w:vAlign w:val="center"/>
          </w:tcPr>
          <w:p w14:paraId="70B67F0B">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color w:val="000000"/>
                <w:sz w:val="24"/>
                <w:szCs w:val="24"/>
                <w:highlight w:val="none"/>
              </w:rPr>
            </w:pPr>
          </w:p>
        </w:tc>
        <w:tc>
          <w:tcPr>
            <w:tcW w:w="1451" w:type="dxa"/>
            <w:vAlign w:val="center"/>
          </w:tcPr>
          <w:p w14:paraId="47FD07AB">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审查时间</w:t>
            </w:r>
          </w:p>
        </w:tc>
        <w:tc>
          <w:tcPr>
            <w:tcW w:w="3270" w:type="dxa"/>
            <w:gridSpan w:val="2"/>
            <w:vAlign w:val="center"/>
          </w:tcPr>
          <w:p w14:paraId="2131B2AC">
            <w:pPr>
              <w:keepNext w:val="0"/>
              <w:keepLines w:val="0"/>
              <w:pageBreakBefore w:val="0"/>
              <w:widowControl w:val="0"/>
              <w:kinsoku/>
              <w:wordWrap w:val="0"/>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 xml:space="preserve"> </w:t>
            </w:r>
            <w:r>
              <w:rPr>
                <w:rFonts w:hint="eastAsia" w:ascii="Times New Roman" w:hAnsi="Times New Roman" w:eastAsia="仿宋" w:cs="仿宋"/>
                <w:color w:val="000000"/>
                <w:sz w:val="24"/>
                <w:szCs w:val="24"/>
                <w:highlight w:val="none"/>
                <w:lang w:val="en-US" w:eastAsia="zh-CN"/>
              </w:rPr>
              <w:t xml:space="preserve"> </w:t>
            </w:r>
            <w:r>
              <w:rPr>
                <w:rFonts w:hint="eastAsia" w:ascii="Times New Roman" w:hAnsi="Times New Roman" w:eastAsia="仿宋" w:cs="仿宋"/>
                <w:color w:val="000000"/>
                <w:sz w:val="24"/>
                <w:szCs w:val="24"/>
                <w:highlight w:val="none"/>
              </w:rPr>
              <w:t xml:space="preserve">   年   </w:t>
            </w:r>
            <w:r>
              <w:rPr>
                <w:rFonts w:hint="eastAsia" w:ascii="Times New Roman" w:hAnsi="Times New Roman" w:eastAsia="仿宋" w:cs="仿宋"/>
                <w:color w:val="000000"/>
                <w:sz w:val="24"/>
                <w:szCs w:val="24"/>
                <w:highlight w:val="none"/>
                <w:lang w:val="en-US" w:eastAsia="zh-CN"/>
              </w:rPr>
              <w:t xml:space="preserve">  </w:t>
            </w:r>
            <w:r>
              <w:rPr>
                <w:rFonts w:hint="eastAsia" w:ascii="Times New Roman" w:hAnsi="Times New Roman" w:eastAsia="仿宋" w:cs="仿宋"/>
                <w:color w:val="000000"/>
                <w:sz w:val="24"/>
                <w:szCs w:val="24"/>
                <w:highlight w:val="none"/>
              </w:rPr>
              <w:t>月    日</w:t>
            </w:r>
          </w:p>
        </w:tc>
      </w:tr>
      <w:tr w14:paraId="054BC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722" w:type="dxa"/>
            <w:gridSpan w:val="3"/>
            <w:vAlign w:val="center"/>
          </w:tcPr>
          <w:p w14:paraId="6F0242B0">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b/>
                <w:color w:val="000000"/>
                <w:sz w:val="24"/>
                <w:szCs w:val="24"/>
                <w:highlight w:val="none"/>
              </w:rPr>
            </w:pPr>
            <w:r>
              <w:rPr>
                <w:rFonts w:hint="eastAsia" w:ascii="Times New Roman" w:hAnsi="Times New Roman" w:eastAsia="仿宋" w:cs="仿宋"/>
                <w:b/>
                <w:color w:val="000000"/>
                <w:sz w:val="24"/>
                <w:szCs w:val="24"/>
                <w:highlight w:val="none"/>
              </w:rPr>
              <w:t>序号</w:t>
            </w:r>
          </w:p>
        </w:tc>
        <w:tc>
          <w:tcPr>
            <w:tcW w:w="1256" w:type="dxa"/>
            <w:gridSpan w:val="3"/>
            <w:vAlign w:val="center"/>
          </w:tcPr>
          <w:p w14:paraId="70B3EBC4">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b/>
                <w:color w:val="000000"/>
                <w:sz w:val="24"/>
                <w:szCs w:val="24"/>
                <w:highlight w:val="none"/>
              </w:rPr>
            </w:pPr>
            <w:r>
              <w:rPr>
                <w:rFonts w:hint="eastAsia" w:ascii="Times New Roman" w:hAnsi="Times New Roman" w:eastAsia="仿宋" w:cs="仿宋"/>
                <w:b/>
                <w:color w:val="000000"/>
                <w:sz w:val="24"/>
                <w:szCs w:val="24"/>
                <w:highlight w:val="none"/>
              </w:rPr>
              <w:t>内容</w:t>
            </w:r>
          </w:p>
        </w:tc>
        <w:tc>
          <w:tcPr>
            <w:tcW w:w="5252" w:type="dxa"/>
            <w:gridSpan w:val="3"/>
            <w:vAlign w:val="center"/>
          </w:tcPr>
          <w:p w14:paraId="37891D19">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b/>
                <w:color w:val="000000"/>
                <w:sz w:val="24"/>
                <w:szCs w:val="24"/>
                <w:highlight w:val="none"/>
              </w:rPr>
            </w:pPr>
            <w:r>
              <w:rPr>
                <w:rFonts w:hint="eastAsia" w:ascii="Times New Roman" w:hAnsi="Times New Roman" w:eastAsia="仿宋" w:cs="仿宋"/>
                <w:b/>
                <w:color w:val="000000"/>
                <w:sz w:val="24"/>
                <w:szCs w:val="24"/>
                <w:highlight w:val="none"/>
              </w:rPr>
              <w:t>审查要点</w:t>
            </w:r>
          </w:p>
        </w:tc>
        <w:tc>
          <w:tcPr>
            <w:tcW w:w="2085" w:type="dxa"/>
            <w:vAlign w:val="center"/>
          </w:tcPr>
          <w:p w14:paraId="53F8AD97">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color w:val="000000"/>
                <w:sz w:val="24"/>
                <w:szCs w:val="24"/>
                <w:highlight w:val="none"/>
              </w:rPr>
            </w:pPr>
            <w:r>
              <w:rPr>
                <w:rFonts w:hint="eastAsia" w:ascii="Times New Roman" w:hAnsi="Times New Roman" w:eastAsia="仿宋" w:cs="仿宋"/>
                <w:b/>
                <w:color w:val="000000"/>
                <w:sz w:val="24"/>
                <w:szCs w:val="24"/>
                <w:highlight w:val="none"/>
              </w:rPr>
              <w:t>审查意见</w:t>
            </w:r>
          </w:p>
        </w:tc>
      </w:tr>
      <w:tr w14:paraId="1462A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315" w:type="dxa"/>
            <w:gridSpan w:val="10"/>
            <w:vAlign w:val="center"/>
          </w:tcPr>
          <w:p w14:paraId="3C9234A1">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一、试生产（使用）期间是否发生事故、采取的防范措施以及整改情况</w:t>
            </w:r>
          </w:p>
        </w:tc>
      </w:tr>
      <w:tr w14:paraId="6B5F4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2" w:type="dxa"/>
            <w:gridSpan w:val="3"/>
            <w:vMerge w:val="restart"/>
            <w:vAlign w:val="center"/>
          </w:tcPr>
          <w:p w14:paraId="5E865486">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1</w:t>
            </w:r>
          </w:p>
        </w:tc>
        <w:tc>
          <w:tcPr>
            <w:tcW w:w="1256" w:type="dxa"/>
            <w:gridSpan w:val="3"/>
            <w:vMerge w:val="restart"/>
            <w:vAlign w:val="center"/>
          </w:tcPr>
          <w:p w14:paraId="19D64195">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试生产前安全检查报告</w:t>
            </w:r>
          </w:p>
        </w:tc>
        <w:tc>
          <w:tcPr>
            <w:tcW w:w="5252" w:type="dxa"/>
            <w:gridSpan w:val="3"/>
            <w:vAlign w:val="center"/>
          </w:tcPr>
          <w:p w14:paraId="0B839891">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试生产（使用）方案应由建设单位主要负责人牵头组织编写，建设单位负责生产、安全的管理机构参与。</w:t>
            </w:r>
          </w:p>
        </w:tc>
        <w:tc>
          <w:tcPr>
            <w:tcW w:w="2085" w:type="dxa"/>
            <w:vMerge w:val="restart"/>
            <w:vAlign w:val="center"/>
          </w:tcPr>
          <w:p w14:paraId="02893CF1">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3299F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722" w:type="dxa"/>
            <w:gridSpan w:val="3"/>
            <w:vMerge w:val="continue"/>
            <w:vAlign w:val="center"/>
          </w:tcPr>
          <w:p w14:paraId="573DB5C4">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color w:val="000000"/>
                <w:sz w:val="24"/>
                <w:szCs w:val="24"/>
                <w:highlight w:val="none"/>
              </w:rPr>
            </w:pPr>
          </w:p>
        </w:tc>
        <w:tc>
          <w:tcPr>
            <w:tcW w:w="1256" w:type="dxa"/>
            <w:gridSpan w:val="3"/>
            <w:vMerge w:val="continue"/>
            <w:vAlign w:val="center"/>
          </w:tcPr>
          <w:p w14:paraId="481B12D7">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252" w:type="dxa"/>
            <w:gridSpan w:val="3"/>
            <w:vAlign w:val="center"/>
          </w:tcPr>
          <w:p w14:paraId="0FF3C8E3">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试生产（使用）前安全检查报告提出对策措施落实情况及结论性意见。</w:t>
            </w:r>
          </w:p>
        </w:tc>
        <w:tc>
          <w:tcPr>
            <w:tcW w:w="2085" w:type="dxa"/>
            <w:vMerge w:val="continue"/>
            <w:vAlign w:val="center"/>
          </w:tcPr>
          <w:p w14:paraId="029BF1EA">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711D4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2" w:type="dxa"/>
            <w:gridSpan w:val="3"/>
            <w:vMerge w:val="continue"/>
            <w:vAlign w:val="center"/>
          </w:tcPr>
          <w:p w14:paraId="36501F40">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color w:val="000000"/>
                <w:sz w:val="24"/>
                <w:szCs w:val="24"/>
                <w:highlight w:val="none"/>
              </w:rPr>
            </w:pPr>
          </w:p>
        </w:tc>
        <w:tc>
          <w:tcPr>
            <w:tcW w:w="1256" w:type="dxa"/>
            <w:gridSpan w:val="3"/>
            <w:vMerge w:val="continue"/>
            <w:vAlign w:val="center"/>
          </w:tcPr>
          <w:p w14:paraId="0990FE01">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252" w:type="dxa"/>
            <w:gridSpan w:val="3"/>
            <w:vAlign w:val="center"/>
          </w:tcPr>
          <w:p w14:paraId="2A6907A0">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设计、施工、监理单位对试生产（使用）方案以及是否具备试生产（使用）条件的意见。</w:t>
            </w:r>
          </w:p>
        </w:tc>
        <w:tc>
          <w:tcPr>
            <w:tcW w:w="2085" w:type="dxa"/>
            <w:vMerge w:val="continue"/>
            <w:vAlign w:val="center"/>
          </w:tcPr>
          <w:p w14:paraId="083F616B">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76B08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2" w:type="dxa"/>
            <w:gridSpan w:val="3"/>
            <w:vMerge w:val="restart"/>
            <w:vAlign w:val="center"/>
          </w:tcPr>
          <w:p w14:paraId="30F8E0EE">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2</w:t>
            </w:r>
          </w:p>
        </w:tc>
        <w:tc>
          <w:tcPr>
            <w:tcW w:w="1256" w:type="dxa"/>
            <w:gridSpan w:val="3"/>
            <w:vMerge w:val="restart"/>
            <w:vAlign w:val="center"/>
          </w:tcPr>
          <w:p w14:paraId="4EE64CA8">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试生产期间的隐患整改情况</w:t>
            </w:r>
          </w:p>
        </w:tc>
        <w:tc>
          <w:tcPr>
            <w:tcW w:w="5252" w:type="dxa"/>
            <w:gridSpan w:val="3"/>
            <w:vAlign w:val="center"/>
          </w:tcPr>
          <w:p w14:paraId="160445F0">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试生产（使用）期间组织组织设计漏项、工程隐患的排查治理情况说明。</w:t>
            </w:r>
          </w:p>
        </w:tc>
        <w:tc>
          <w:tcPr>
            <w:tcW w:w="2085" w:type="dxa"/>
            <w:vMerge w:val="restart"/>
            <w:vAlign w:val="center"/>
          </w:tcPr>
          <w:p w14:paraId="206525CF">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7BBCC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2" w:type="dxa"/>
            <w:gridSpan w:val="3"/>
            <w:vMerge w:val="continue"/>
            <w:vAlign w:val="center"/>
          </w:tcPr>
          <w:p w14:paraId="76D5B215">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color w:val="000000"/>
                <w:sz w:val="24"/>
                <w:szCs w:val="24"/>
                <w:highlight w:val="none"/>
              </w:rPr>
            </w:pPr>
          </w:p>
        </w:tc>
        <w:tc>
          <w:tcPr>
            <w:tcW w:w="1256" w:type="dxa"/>
            <w:gridSpan w:val="3"/>
            <w:vMerge w:val="continue"/>
            <w:vAlign w:val="center"/>
          </w:tcPr>
          <w:p w14:paraId="3C8DDBDB">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252" w:type="dxa"/>
            <w:gridSpan w:val="3"/>
            <w:vAlign w:val="center"/>
          </w:tcPr>
          <w:p w14:paraId="4D0C3E00">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试生产（使用）期间的安全生产事故以及调查处理情况说明。</w:t>
            </w:r>
          </w:p>
        </w:tc>
        <w:tc>
          <w:tcPr>
            <w:tcW w:w="2085" w:type="dxa"/>
            <w:vMerge w:val="continue"/>
            <w:vAlign w:val="center"/>
          </w:tcPr>
          <w:p w14:paraId="78A3C2DB">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3CEC6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2" w:type="dxa"/>
            <w:gridSpan w:val="3"/>
            <w:vMerge w:val="restart"/>
            <w:vAlign w:val="center"/>
          </w:tcPr>
          <w:p w14:paraId="3F03EECA">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3</w:t>
            </w:r>
          </w:p>
        </w:tc>
        <w:tc>
          <w:tcPr>
            <w:tcW w:w="1256" w:type="dxa"/>
            <w:gridSpan w:val="3"/>
            <w:vMerge w:val="restart"/>
            <w:vAlign w:val="center"/>
          </w:tcPr>
          <w:p w14:paraId="4BD28246">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安全管理人员和机构配置情况</w:t>
            </w:r>
          </w:p>
        </w:tc>
        <w:tc>
          <w:tcPr>
            <w:tcW w:w="5252" w:type="dxa"/>
            <w:gridSpan w:val="3"/>
            <w:vAlign w:val="center"/>
          </w:tcPr>
          <w:p w14:paraId="45A6AE9A">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建设单位出具设置安全生产管理机构和配备专职安全生产管理人员的正式文件。</w:t>
            </w:r>
          </w:p>
        </w:tc>
        <w:tc>
          <w:tcPr>
            <w:tcW w:w="2085" w:type="dxa"/>
            <w:vMerge w:val="restart"/>
            <w:vAlign w:val="center"/>
          </w:tcPr>
          <w:p w14:paraId="01CBBD21">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3F71E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2" w:type="dxa"/>
            <w:gridSpan w:val="3"/>
            <w:vMerge w:val="continue"/>
            <w:vAlign w:val="center"/>
          </w:tcPr>
          <w:p w14:paraId="57282ADD">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color w:val="000000"/>
                <w:sz w:val="24"/>
                <w:szCs w:val="24"/>
                <w:highlight w:val="none"/>
              </w:rPr>
            </w:pPr>
          </w:p>
        </w:tc>
        <w:tc>
          <w:tcPr>
            <w:tcW w:w="1256" w:type="dxa"/>
            <w:gridSpan w:val="3"/>
            <w:vMerge w:val="continue"/>
            <w:vAlign w:val="center"/>
          </w:tcPr>
          <w:p w14:paraId="772E92D4">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252" w:type="dxa"/>
            <w:gridSpan w:val="3"/>
            <w:vAlign w:val="center"/>
          </w:tcPr>
          <w:p w14:paraId="10624A5E">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主要负责人、安全生产管理人员、注册安全工程师资格证书，以及特种作业人员名单。</w:t>
            </w:r>
          </w:p>
        </w:tc>
        <w:tc>
          <w:tcPr>
            <w:tcW w:w="2085" w:type="dxa"/>
            <w:vMerge w:val="continue"/>
            <w:vAlign w:val="center"/>
          </w:tcPr>
          <w:p w14:paraId="09F56735">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054E0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2" w:type="dxa"/>
            <w:gridSpan w:val="3"/>
            <w:vMerge w:val="continue"/>
            <w:vAlign w:val="center"/>
          </w:tcPr>
          <w:p w14:paraId="6380895C">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color w:val="000000"/>
                <w:sz w:val="24"/>
                <w:szCs w:val="24"/>
                <w:highlight w:val="none"/>
              </w:rPr>
            </w:pPr>
          </w:p>
        </w:tc>
        <w:tc>
          <w:tcPr>
            <w:tcW w:w="1256" w:type="dxa"/>
            <w:gridSpan w:val="3"/>
            <w:vMerge w:val="continue"/>
            <w:vAlign w:val="center"/>
          </w:tcPr>
          <w:p w14:paraId="6945D7EF">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252" w:type="dxa"/>
            <w:gridSpan w:val="3"/>
            <w:vAlign w:val="center"/>
          </w:tcPr>
          <w:p w14:paraId="5AB7E65A">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从业人员安全教育、培训合格的证明材料。</w:t>
            </w:r>
          </w:p>
        </w:tc>
        <w:tc>
          <w:tcPr>
            <w:tcW w:w="2085" w:type="dxa"/>
            <w:vMerge w:val="continue"/>
            <w:vAlign w:val="center"/>
          </w:tcPr>
          <w:p w14:paraId="0793A889">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6174D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2" w:type="dxa"/>
            <w:gridSpan w:val="3"/>
            <w:vMerge w:val="continue"/>
            <w:vAlign w:val="center"/>
          </w:tcPr>
          <w:p w14:paraId="05B4F0E7">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color w:val="000000"/>
                <w:sz w:val="24"/>
                <w:szCs w:val="24"/>
                <w:highlight w:val="none"/>
              </w:rPr>
            </w:pPr>
          </w:p>
        </w:tc>
        <w:tc>
          <w:tcPr>
            <w:tcW w:w="1256" w:type="dxa"/>
            <w:gridSpan w:val="3"/>
            <w:vMerge w:val="continue"/>
            <w:vAlign w:val="center"/>
          </w:tcPr>
          <w:p w14:paraId="29DFB1C6">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252" w:type="dxa"/>
            <w:gridSpan w:val="3"/>
            <w:vAlign w:val="center"/>
          </w:tcPr>
          <w:p w14:paraId="6C2F3D87">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为从业人员缴纳工伤保险费的证明材料。</w:t>
            </w:r>
          </w:p>
        </w:tc>
        <w:tc>
          <w:tcPr>
            <w:tcW w:w="2085" w:type="dxa"/>
            <w:vMerge w:val="continue"/>
            <w:vAlign w:val="center"/>
          </w:tcPr>
          <w:p w14:paraId="0F37E60C">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6AD73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2" w:type="dxa"/>
            <w:gridSpan w:val="3"/>
            <w:vMerge w:val="restart"/>
            <w:vAlign w:val="center"/>
          </w:tcPr>
          <w:p w14:paraId="0B72005D">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4</w:t>
            </w:r>
          </w:p>
        </w:tc>
        <w:tc>
          <w:tcPr>
            <w:tcW w:w="1256" w:type="dxa"/>
            <w:gridSpan w:val="3"/>
            <w:vMerge w:val="restart"/>
            <w:vAlign w:val="center"/>
          </w:tcPr>
          <w:p w14:paraId="3E8B3327">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安全保障措施情况</w:t>
            </w:r>
          </w:p>
        </w:tc>
        <w:tc>
          <w:tcPr>
            <w:tcW w:w="5252" w:type="dxa"/>
            <w:gridSpan w:val="3"/>
            <w:vAlign w:val="center"/>
          </w:tcPr>
          <w:p w14:paraId="5DAAC3BB">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从业人员劳动防护用品配备情况说明。</w:t>
            </w:r>
          </w:p>
        </w:tc>
        <w:tc>
          <w:tcPr>
            <w:tcW w:w="2085" w:type="dxa"/>
            <w:vMerge w:val="restart"/>
            <w:vAlign w:val="center"/>
          </w:tcPr>
          <w:p w14:paraId="639BCC8E">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5B8F2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2" w:type="dxa"/>
            <w:gridSpan w:val="3"/>
            <w:vMerge w:val="continue"/>
            <w:vAlign w:val="center"/>
          </w:tcPr>
          <w:p w14:paraId="480B4C38">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256" w:type="dxa"/>
            <w:gridSpan w:val="3"/>
            <w:vMerge w:val="continue"/>
            <w:vAlign w:val="center"/>
          </w:tcPr>
          <w:p w14:paraId="174D9D9E">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252" w:type="dxa"/>
            <w:gridSpan w:val="3"/>
            <w:vAlign w:val="center"/>
          </w:tcPr>
          <w:p w14:paraId="5FA6E563">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安全生产责任制文件，安全生产规章制度清单、岗位操作安全规程清单。</w:t>
            </w:r>
          </w:p>
        </w:tc>
        <w:tc>
          <w:tcPr>
            <w:tcW w:w="2085" w:type="dxa"/>
            <w:vMerge w:val="continue"/>
            <w:vAlign w:val="center"/>
          </w:tcPr>
          <w:p w14:paraId="6F8AA506">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68CAE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722" w:type="dxa"/>
            <w:gridSpan w:val="3"/>
            <w:vMerge w:val="continue"/>
            <w:vAlign w:val="center"/>
          </w:tcPr>
          <w:p w14:paraId="4C284E97">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256" w:type="dxa"/>
            <w:gridSpan w:val="3"/>
            <w:vMerge w:val="continue"/>
            <w:vAlign w:val="center"/>
          </w:tcPr>
          <w:p w14:paraId="58620AE7">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252" w:type="dxa"/>
            <w:gridSpan w:val="3"/>
            <w:vAlign w:val="center"/>
          </w:tcPr>
          <w:p w14:paraId="7CE1A175">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应急救援预案、组织和队伍情况说明，危险化学品事故应急预案备案登记表。</w:t>
            </w:r>
          </w:p>
        </w:tc>
        <w:tc>
          <w:tcPr>
            <w:tcW w:w="2085" w:type="dxa"/>
            <w:vMerge w:val="continue"/>
            <w:vAlign w:val="center"/>
          </w:tcPr>
          <w:p w14:paraId="7891B74A">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08AC7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722" w:type="dxa"/>
            <w:gridSpan w:val="3"/>
            <w:vMerge w:val="continue"/>
            <w:vAlign w:val="center"/>
          </w:tcPr>
          <w:p w14:paraId="4D236D1F">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256" w:type="dxa"/>
            <w:gridSpan w:val="3"/>
            <w:vMerge w:val="continue"/>
            <w:vAlign w:val="center"/>
          </w:tcPr>
          <w:p w14:paraId="2F334C2C">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252" w:type="dxa"/>
            <w:gridSpan w:val="3"/>
            <w:vAlign w:val="center"/>
          </w:tcPr>
          <w:p w14:paraId="16216E32">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危险与可操作性分析（HAZOP）情况说明。</w:t>
            </w:r>
          </w:p>
        </w:tc>
        <w:tc>
          <w:tcPr>
            <w:tcW w:w="2085" w:type="dxa"/>
            <w:vMerge w:val="continue"/>
            <w:vAlign w:val="center"/>
          </w:tcPr>
          <w:p w14:paraId="5ED2D5E0">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2FA02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22" w:type="dxa"/>
            <w:gridSpan w:val="3"/>
            <w:vMerge w:val="continue"/>
            <w:vAlign w:val="center"/>
          </w:tcPr>
          <w:p w14:paraId="48794165">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256" w:type="dxa"/>
            <w:gridSpan w:val="3"/>
            <w:vMerge w:val="continue"/>
            <w:vAlign w:val="center"/>
          </w:tcPr>
          <w:p w14:paraId="79F8DD85">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252" w:type="dxa"/>
            <w:gridSpan w:val="3"/>
            <w:vAlign w:val="center"/>
          </w:tcPr>
          <w:p w14:paraId="6AEB875B">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重大危险源辨识情况。</w:t>
            </w:r>
          </w:p>
        </w:tc>
        <w:tc>
          <w:tcPr>
            <w:tcW w:w="2085" w:type="dxa"/>
            <w:vMerge w:val="continue"/>
            <w:vAlign w:val="center"/>
          </w:tcPr>
          <w:p w14:paraId="49A0553A">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1BD0E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9315" w:type="dxa"/>
            <w:gridSpan w:val="10"/>
            <w:vAlign w:val="center"/>
          </w:tcPr>
          <w:p w14:paraId="46113BA4">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二、设计落实及变更情况</w:t>
            </w:r>
          </w:p>
        </w:tc>
      </w:tr>
      <w:tr w14:paraId="061D6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617" w:type="dxa"/>
            <w:gridSpan w:val="2"/>
            <w:vMerge w:val="restart"/>
            <w:vAlign w:val="center"/>
          </w:tcPr>
          <w:p w14:paraId="340C92A3">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1</w:t>
            </w:r>
          </w:p>
        </w:tc>
        <w:tc>
          <w:tcPr>
            <w:tcW w:w="1289" w:type="dxa"/>
            <w:gridSpan w:val="3"/>
            <w:vMerge w:val="restart"/>
            <w:vAlign w:val="center"/>
          </w:tcPr>
          <w:p w14:paraId="65102501">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设计单位和人员的基本情况</w:t>
            </w:r>
          </w:p>
        </w:tc>
        <w:tc>
          <w:tcPr>
            <w:tcW w:w="5324" w:type="dxa"/>
            <w:gridSpan w:val="4"/>
            <w:vAlign w:val="center"/>
          </w:tcPr>
          <w:p w14:paraId="5BFF29CB">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设计单位资质等级、业务范围、证书有效期符合建设项目以及要求的说明。</w:t>
            </w:r>
          </w:p>
        </w:tc>
        <w:tc>
          <w:tcPr>
            <w:tcW w:w="2085" w:type="dxa"/>
            <w:vMerge w:val="restart"/>
            <w:vAlign w:val="center"/>
          </w:tcPr>
          <w:p w14:paraId="12637F38">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0C4B1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617" w:type="dxa"/>
            <w:gridSpan w:val="2"/>
            <w:vMerge w:val="continue"/>
            <w:vAlign w:val="center"/>
          </w:tcPr>
          <w:p w14:paraId="68914474">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color w:val="000000"/>
                <w:sz w:val="24"/>
                <w:szCs w:val="24"/>
                <w:highlight w:val="none"/>
              </w:rPr>
            </w:pPr>
          </w:p>
        </w:tc>
        <w:tc>
          <w:tcPr>
            <w:tcW w:w="1289" w:type="dxa"/>
            <w:gridSpan w:val="3"/>
            <w:vMerge w:val="continue"/>
            <w:vAlign w:val="center"/>
          </w:tcPr>
          <w:p w14:paraId="7AB45FC4">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4BB5166B">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设计人员资质、专业、数量符合相关要求的说明。</w:t>
            </w:r>
          </w:p>
        </w:tc>
        <w:tc>
          <w:tcPr>
            <w:tcW w:w="2085" w:type="dxa"/>
            <w:vMerge w:val="continue"/>
            <w:vAlign w:val="center"/>
          </w:tcPr>
          <w:p w14:paraId="296B088C">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2E6BD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gridSpan w:val="2"/>
            <w:vMerge w:val="restart"/>
            <w:vAlign w:val="center"/>
          </w:tcPr>
          <w:p w14:paraId="59366E1A">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2</w:t>
            </w:r>
          </w:p>
        </w:tc>
        <w:tc>
          <w:tcPr>
            <w:tcW w:w="1289" w:type="dxa"/>
            <w:gridSpan w:val="3"/>
            <w:vMerge w:val="restart"/>
            <w:vAlign w:val="center"/>
          </w:tcPr>
          <w:p w14:paraId="31CCDA64">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安全设施设计落实情况</w:t>
            </w:r>
          </w:p>
        </w:tc>
        <w:tc>
          <w:tcPr>
            <w:tcW w:w="5324" w:type="dxa"/>
            <w:gridSpan w:val="4"/>
            <w:vAlign w:val="center"/>
          </w:tcPr>
          <w:p w14:paraId="17B54373">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按照预防事故设施、控制事故设施</w:t>
            </w:r>
            <w:r>
              <w:rPr>
                <w:rFonts w:hint="eastAsia" w:ascii="Times New Roman" w:hAnsi="Times New Roman" w:eastAsia="仿宋" w:cs="仿宋"/>
                <w:color w:val="000000"/>
                <w:sz w:val="24"/>
                <w:szCs w:val="24"/>
                <w:highlight w:val="none"/>
                <w:lang w:eastAsia="zh-CN"/>
              </w:rPr>
              <w:t>、</w:t>
            </w:r>
            <w:r>
              <w:rPr>
                <w:rFonts w:hint="eastAsia" w:ascii="Times New Roman" w:hAnsi="Times New Roman" w:eastAsia="仿宋" w:cs="仿宋"/>
                <w:color w:val="000000"/>
                <w:sz w:val="24"/>
                <w:szCs w:val="24"/>
                <w:highlight w:val="none"/>
              </w:rPr>
              <w:t>减少与消除事故影响</w:t>
            </w:r>
            <w:r>
              <w:rPr>
                <w:rFonts w:hint="eastAsia" w:ascii="Times New Roman" w:hAnsi="Times New Roman" w:eastAsia="仿宋" w:cs="仿宋"/>
                <w:color w:val="000000"/>
                <w:sz w:val="24"/>
                <w:szCs w:val="24"/>
                <w:highlight w:val="none"/>
                <w:lang w:val="en-US" w:eastAsia="zh-CN"/>
              </w:rPr>
              <w:t>设施，</w:t>
            </w:r>
            <w:r>
              <w:rPr>
                <w:rFonts w:hint="eastAsia" w:ascii="Times New Roman" w:hAnsi="Times New Roman" w:eastAsia="仿宋" w:cs="仿宋"/>
                <w:color w:val="000000"/>
                <w:sz w:val="24"/>
                <w:szCs w:val="24"/>
                <w:highlight w:val="none"/>
              </w:rPr>
              <w:t>对安全设施进行分类，并按照设施名称、数量、设计依据和执行标准、依据内容、施工落实情况进行列表汇总。</w:t>
            </w:r>
          </w:p>
        </w:tc>
        <w:tc>
          <w:tcPr>
            <w:tcW w:w="2085" w:type="dxa"/>
            <w:vMerge w:val="restart"/>
            <w:vAlign w:val="center"/>
          </w:tcPr>
          <w:p w14:paraId="58CDAE7A">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347E3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617" w:type="dxa"/>
            <w:gridSpan w:val="2"/>
            <w:vMerge w:val="continue"/>
            <w:vAlign w:val="center"/>
          </w:tcPr>
          <w:p w14:paraId="7FDBF825">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color w:val="000000"/>
                <w:sz w:val="24"/>
                <w:szCs w:val="24"/>
                <w:highlight w:val="none"/>
              </w:rPr>
            </w:pPr>
          </w:p>
        </w:tc>
        <w:tc>
          <w:tcPr>
            <w:tcW w:w="1289" w:type="dxa"/>
            <w:gridSpan w:val="3"/>
            <w:vMerge w:val="continue"/>
            <w:vAlign w:val="center"/>
          </w:tcPr>
          <w:p w14:paraId="34618F06">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6959DA7B">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安全设施满足安全设施设计专篇中要求的性能质量情况。</w:t>
            </w:r>
          </w:p>
        </w:tc>
        <w:tc>
          <w:tcPr>
            <w:tcW w:w="2085" w:type="dxa"/>
            <w:vMerge w:val="continue"/>
            <w:vAlign w:val="center"/>
          </w:tcPr>
          <w:p w14:paraId="6E657FF8">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377B5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17" w:type="dxa"/>
            <w:gridSpan w:val="2"/>
            <w:vMerge w:val="restart"/>
            <w:vAlign w:val="center"/>
          </w:tcPr>
          <w:p w14:paraId="13580EA3">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3</w:t>
            </w:r>
          </w:p>
        </w:tc>
        <w:tc>
          <w:tcPr>
            <w:tcW w:w="1289" w:type="dxa"/>
            <w:gridSpan w:val="3"/>
            <w:vMerge w:val="restart"/>
            <w:vAlign w:val="center"/>
          </w:tcPr>
          <w:p w14:paraId="19F8DEEB">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安全设施变更情况</w:t>
            </w:r>
          </w:p>
        </w:tc>
        <w:tc>
          <w:tcPr>
            <w:tcW w:w="5324" w:type="dxa"/>
            <w:gridSpan w:val="4"/>
            <w:vAlign w:val="center"/>
          </w:tcPr>
          <w:p w14:paraId="7842403A">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安全设施变更原因及情况说明。</w:t>
            </w:r>
          </w:p>
        </w:tc>
        <w:tc>
          <w:tcPr>
            <w:tcW w:w="2085" w:type="dxa"/>
            <w:vMerge w:val="restart"/>
            <w:vAlign w:val="center"/>
          </w:tcPr>
          <w:p w14:paraId="6CED6443">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45C76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gridSpan w:val="2"/>
            <w:vMerge w:val="continue"/>
            <w:vAlign w:val="center"/>
          </w:tcPr>
          <w:p w14:paraId="27EDEC66">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289" w:type="dxa"/>
            <w:gridSpan w:val="3"/>
            <w:vMerge w:val="continue"/>
            <w:vAlign w:val="center"/>
          </w:tcPr>
          <w:p w14:paraId="0FD5F365">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2FB26913">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改变安全设施设计且可能降低安全性能、在施工期间重新设计等情况经安全设施设计专篇审查单位重新审查同意的意见。</w:t>
            </w:r>
          </w:p>
        </w:tc>
        <w:tc>
          <w:tcPr>
            <w:tcW w:w="2085" w:type="dxa"/>
            <w:vMerge w:val="continue"/>
            <w:vAlign w:val="center"/>
          </w:tcPr>
          <w:p w14:paraId="49E975D0">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3FFDF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315" w:type="dxa"/>
            <w:gridSpan w:val="10"/>
            <w:vAlign w:val="center"/>
          </w:tcPr>
          <w:p w14:paraId="0AF62157">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三、安全设施施工情况</w:t>
            </w:r>
          </w:p>
        </w:tc>
      </w:tr>
      <w:tr w14:paraId="4DBC6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gridSpan w:val="2"/>
            <w:vMerge w:val="restart"/>
            <w:vAlign w:val="center"/>
          </w:tcPr>
          <w:p w14:paraId="392B4ED8">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1</w:t>
            </w:r>
          </w:p>
        </w:tc>
        <w:tc>
          <w:tcPr>
            <w:tcW w:w="1289" w:type="dxa"/>
            <w:gridSpan w:val="3"/>
            <w:vMerge w:val="restart"/>
            <w:vAlign w:val="center"/>
          </w:tcPr>
          <w:p w14:paraId="07D50976">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施工单位的基本情况</w:t>
            </w:r>
          </w:p>
        </w:tc>
        <w:tc>
          <w:tcPr>
            <w:tcW w:w="5324" w:type="dxa"/>
            <w:gridSpan w:val="4"/>
            <w:vAlign w:val="center"/>
          </w:tcPr>
          <w:p w14:paraId="3483CED8">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施工单位资质证书等级、业务范围、有效期符合建设项目要求的说明。</w:t>
            </w:r>
          </w:p>
        </w:tc>
        <w:tc>
          <w:tcPr>
            <w:tcW w:w="2085" w:type="dxa"/>
            <w:vMerge w:val="restart"/>
            <w:vAlign w:val="center"/>
          </w:tcPr>
          <w:p w14:paraId="269E031C">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62928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gridSpan w:val="2"/>
            <w:vMerge w:val="continue"/>
            <w:vAlign w:val="center"/>
          </w:tcPr>
          <w:p w14:paraId="5C3E01BD">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color w:val="000000"/>
                <w:sz w:val="24"/>
                <w:szCs w:val="24"/>
                <w:highlight w:val="none"/>
              </w:rPr>
            </w:pPr>
          </w:p>
        </w:tc>
        <w:tc>
          <w:tcPr>
            <w:tcW w:w="1289" w:type="dxa"/>
            <w:gridSpan w:val="3"/>
            <w:vMerge w:val="continue"/>
            <w:vAlign w:val="center"/>
          </w:tcPr>
          <w:p w14:paraId="4B5A652A">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346DCEFC">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施工单位以往所承担的同类建设项目设计情况。</w:t>
            </w:r>
          </w:p>
        </w:tc>
        <w:tc>
          <w:tcPr>
            <w:tcW w:w="2085" w:type="dxa"/>
            <w:vMerge w:val="continue"/>
            <w:vAlign w:val="center"/>
          </w:tcPr>
          <w:p w14:paraId="2E29B99D">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4A9C7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gridSpan w:val="2"/>
            <w:vMerge w:val="continue"/>
            <w:vAlign w:val="center"/>
          </w:tcPr>
          <w:p w14:paraId="5268C40F">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color w:val="000000"/>
                <w:sz w:val="24"/>
                <w:szCs w:val="24"/>
                <w:highlight w:val="none"/>
              </w:rPr>
            </w:pPr>
          </w:p>
        </w:tc>
        <w:tc>
          <w:tcPr>
            <w:tcW w:w="1289" w:type="dxa"/>
            <w:gridSpan w:val="3"/>
            <w:vMerge w:val="continue"/>
            <w:vAlign w:val="center"/>
          </w:tcPr>
          <w:p w14:paraId="0D0BF352">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63B5DB35">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施工人员资质、专业、数量符合相关要求的说明。</w:t>
            </w:r>
          </w:p>
        </w:tc>
        <w:tc>
          <w:tcPr>
            <w:tcW w:w="2085" w:type="dxa"/>
            <w:vMerge w:val="continue"/>
            <w:vAlign w:val="center"/>
          </w:tcPr>
          <w:p w14:paraId="11B9F935">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71357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gridSpan w:val="2"/>
            <w:vMerge w:val="restart"/>
            <w:vAlign w:val="center"/>
          </w:tcPr>
          <w:p w14:paraId="71E8F324">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2</w:t>
            </w:r>
          </w:p>
        </w:tc>
        <w:tc>
          <w:tcPr>
            <w:tcW w:w="1289" w:type="dxa"/>
            <w:gridSpan w:val="3"/>
            <w:vMerge w:val="restart"/>
            <w:vAlign w:val="center"/>
          </w:tcPr>
          <w:p w14:paraId="0BBDAC76">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现场施工情况</w:t>
            </w:r>
          </w:p>
        </w:tc>
        <w:tc>
          <w:tcPr>
            <w:tcW w:w="5324" w:type="dxa"/>
            <w:gridSpan w:val="4"/>
            <w:vAlign w:val="center"/>
          </w:tcPr>
          <w:p w14:paraId="670E2C07">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施工范围及主要施工内容的说明。</w:t>
            </w:r>
          </w:p>
        </w:tc>
        <w:tc>
          <w:tcPr>
            <w:tcW w:w="2085" w:type="dxa"/>
            <w:vMerge w:val="restart"/>
            <w:vAlign w:val="center"/>
          </w:tcPr>
          <w:p w14:paraId="2A712334">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2A83B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gridSpan w:val="2"/>
            <w:vMerge w:val="continue"/>
            <w:vAlign w:val="center"/>
          </w:tcPr>
          <w:p w14:paraId="5FA05836">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color w:val="000000"/>
                <w:sz w:val="24"/>
                <w:szCs w:val="24"/>
                <w:highlight w:val="none"/>
              </w:rPr>
            </w:pPr>
          </w:p>
        </w:tc>
        <w:tc>
          <w:tcPr>
            <w:tcW w:w="1289" w:type="dxa"/>
            <w:gridSpan w:val="3"/>
            <w:vMerge w:val="continue"/>
            <w:vAlign w:val="center"/>
          </w:tcPr>
          <w:p w14:paraId="4B2D4FD8">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4E3A3088">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施工依据和执行的有关法律、法规、规章和国家标准、行业标准列表。</w:t>
            </w:r>
          </w:p>
        </w:tc>
        <w:tc>
          <w:tcPr>
            <w:tcW w:w="2085" w:type="dxa"/>
            <w:vMerge w:val="continue"/>
            <w:vAlign w:val="center"/>
          </w:tcPr>
          <w:p w14:paraId="5338EA72">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6FDF2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gridSpan w:val="2"/>
            <w:vMerge w:val="continue"/>
            <w:vAlign w:val="center"/>
          </w:tcPr>
          <w:p w14:paraId="5D61E37D">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color w:val="000000"/>
                <w:sz w:val="24"/>
                <w:szCs w:val="24"/>
                <w:highlight w:val="none"/>
              </w:rPr>
            </w:pPr>
          </w:p>
        </w:tc>
        <w:tc>
          <w:tcPr>
            <w:tcW w:w="1289" w:type="dxa"/>
            <w:gridSpan w:val="3"/>
            <w:vMerge w:val="continue"/>
            <w:vAlign w:val="center"/>
          </w:tcPr>
          <w:p w14:paraId="0DD9693E">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4E246B5C">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主要装置、设施的施工质量控制、评定情况说明。</w:t>
            </w:r>
          </w:p>
        </w:tc>
        <w:tc>
          <w:tcPr>
            <w:tcW w:w="2085" w:type="dxa"/>
            <w:vMerge w:val="continue"/>
            <w:vAlign w:val="center"/>
          </w:tcPr>
          <w:p w14:paraId="34D60A1C">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5653D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617" w:type="dxa"/>
            <w:gridSpan w:val="2"/>
            <w:vMerge w:val="restart"/>
            <w:vAlign w:val="center"/>
          </w:tcPr>
          <w:p w14:paraId="796DE16F">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3</w:t>
            </w:r>
          </w:p>
        </w:tc>
        <w:tc>
          <w:tcPr>
            <w:tcW w:w="1289" w:type="dxa"/>
            <w:gridSpan w:val="3"/>
            <w:vMerge w:val="restart"/>
            <w:vAlign w:val="center"/>
          </w:tcPr>
          <w:p w14:paraId="7632D414">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施工变更情况</w:t>
            </w:r>
          </w:p>
        </w:tc>
        <w:tc>
          <w:tcPr>
            <w:tcW w:w="5324" w:type="dxa"/>
            <w:gridSpan w:val="4"/>
            <w:vAlign w:val="center"/>
          </w:tcPr>
          <w:p w14:paraId="749E845F">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包括建设项目在施工和试生产期间有关安全生产的设施改动和变更情况说明。</w:t>
            </w:r>
          </w:p>
        </w:tc>
        <w:tc>
          <w:tcPr>
            <w:tcW w:w="2085" w:type="dxa"/>
            <w:vMerge w:val="restart"/>
            <w:vAlign w:val="center"/>
          </w:tcPr>
          <w:p w14:paraId="12E57D78">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338C5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17" w:type="dxa"/>
            <w:gridSpan w:val="2"/>
            <w:vMerge w:val="continue"/>
            <w:vAlign w:val="center"/>
          </w:tcPr>
          <w:p w14:paraId="15A437FA">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289" w:type="dxa"/>
            <w:gridSpan w:val="3"/>
            <w:vMerge w:val="continue"/>
            <w:vAlign w:val="center"/>
          </w:tcPr>
          <w:p w14:paraId="7F819916">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598F173F">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施工过程出现的主要问题以及解决措施。</w:t>
            </w:r>
          </w:p>
        </w:tc>
        <w:tc>
          <w:tcPr>
            <w:tcW w:w="2085" w:type="dxa"/>
            <w:vMerge w:val="continue"/>
            <w:vAlign w:val="center"/>
          </w:tcPr>
          <w:p w14:paraId="5013690A">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77369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9315" w:type="dxa"/>
            <w:gridSpan w:val="10"/>
            <w:vAlign w:val="center"/>
          </w:tcPr>
          <w:p w14:paraId="16E21DB2">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四、施工监理情况（按规定不需监理的项目除外）</w:t>
            </w:r>
          </w:p>
        </w:tc>
      </w:tr>
      <w:tr w14:paraId="1D1F1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617" w:type="dxa"/>
            <w:gridSpan w:val="2"/>
            <w:vMerge w:val="restart"/>
            <w:vAlign w:val="center"/>
          </w:tcPr>
          <w:p w14:paraId="37EC97A7">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1</w:t>
            </w:r>
          </w:p>
        </w:tc>
        <w:tc>
          <w:tcPr>
            <w:tcW w:w="1289" w:type="dxa"/>
            <w:gridSpan w:val="3"/>
            <w:vMerge w:val="restart"/>
            <w:vAlign w:val="center"/>
          </w:tcPr>
          <w:p w14:paraId="7A7E04C7">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监理单位的基本情况</w:t>
            </w:r>
          </w:p>
        </w:tc>
        <w:tc>
          <w:tcPr>
            <w:tcW w:w="5324" w:type="dxa"/>
            <w:gridSpan w:val="4"/>
            <w:vAlign w:val="center"/>
          </w:tcPr>
          <w:p w14:paraId="212B18E7">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监理范围与工程监理资质的符合情况。</w:t>
            </w:r>
          </w:p>
        </w:tc>
        <w:tc>
          <w:tcPr>
            <w:tcW w:w="2085" w:type="dxa"/>
            <w:vMerge w:val="restart"/>
            <w:vAlign w:val="center"/>
          </w:tcPr>
          <w:p w14:paraId="4BFEBF77">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42754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gridSpan w:val="2"/>
            <w:vMerge w:val="continue"/>
            <w:vAlign w:val="center"/>
          </w:tcPr>
          <w:p w14:paraId="669C5AAF">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color w:val="000000"/>
                <w:sz w:val="24"/>
                <w:szCs w:val="24"/>
                <w:highlight w:val="none"/>
              </w:rPr>
            </w:pPr>
          </w:p>
        </w:tc>
        <w:tc>
          <w:tcPr>
            <w:tcW w:w="1289" w:type="dxa"/>
            <w:gridSpan w:val="3"/>
            <w:vMerge w:val="continue"/>
            <w:vAlign w:val="center"/>
          </w:tcPr>
          <w:p w14:paraId="69F584B5">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41E853AA">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监理单位以往所承担的同类建设项目施工监理情况。</w:t>
            </w:r>
          </w:p>
        </w:tc>
        <w:tc>
          <w:tcPr>
            <w:tcW w:w="2085" w:type="dxa"/>
            <w:vMerge w:val="continue"/>
            <w:vAlign w:val="center"/>
          </w:tcPr>
          <w:p w14:paraId="1BDD09D2">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7EED5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617" w:type="dxa"/>
            <w:gridSpan w:val="2"/>
            <w:vMerge w:val="continue"/>
            <w:vAlign w:val="center"/>
          </w:tcPr>
          <w:p w14:paraId="6E634CAA">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color w:val="000000"/>
                <w:sz w:val="24"/>
                <w:szCs w:val="24"/>
                <w:highlight w:val="none"/>
              </w:rPr>
            </w:pPr>
          </w:p>
        </w:tc>
        <w:tc>
          <w:tcPr>
            <w:tcW w:w="1289" w:type="dxa"/>
            <w:gridSpan w:val="3"/>
            <w:vMerge w:val="continue"/>
            <w:vAlign w:val="center"/>
          </w:tcPr>
          <w:p w14:paraId="7820DBCA">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25F42436">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施工人员资质、专业、数量符合相关要求的说明。</w:t>
            </w:r>
          </w:p>
        </w:tc>
        <w:tc>
          <w:tcPr>
            <w:tcW w:w="2085" w:type="dxa"/>
            <w:vMerge w:val="continue"/>
            <w:vAlign w:val="center"/>
          </w:tcPr>
          <w:p w14:paraId="26666543">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0766B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 w:type="dxa"/>
            <w:gridSpan w:val="2"/>
            <w:vMerge w:val="restart"/>
            <w:vAlign w:val="center"/>
          </w:tcPr>
          <w:p w14:paraId="347E3869">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2</w:t>
            </w:r>
          </w:p>
        </w:tc>
        <w:tc>
          <w:tcPr>
            <w:tcW w:w="1289" w:type="dxa"/>
            <w:gridSpan w:val="3"/>
            <w:vMerge w:val="restart"/>
            <w:vAlign w:val="center"/>
          </w:tcPr>
          <w:p w14:paraId="1D481DFF">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现场监理情况</w:t>
            </w:r>
          </w:p>
        </w:tc>
        <w:tc>
          <w:tcPr>
            <w:tcW w:w="5324" w:type="dxa"/>
            <w:gridSpan w:val="4"/>
            <w:vAlign w:val="center"/>
          </w:tcPr>
          <w:p w14:paraId="2DF611CA">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各施工单位的施工范围及施工单位资质的符合情况。</w:t>
            </w:r>
          </w:p>
        </w:tc>
        <w:tc>
          <w:tcPr>
            <w:tcW w:w="2085" w:type="dxa"/>
            <w:vMerge w:val="restart"/>
            <w:vAlign w:val="center"/>
          </w:tcPr>
          <w:p w14:paraId="7DBC9D6F">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5D950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617" w:type="dxa"/>
            <w:gridSpan w:val="2"/>
            <w:vMerge w:val="continue"/>
            <w:vAlign w:val="center"/>
          </w:tcPr>
          <w:p w14:paraId="5365EBBC">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289" w:type="dxa"/>
            <w:gridSpan w:val="3"/>
            <w:vMerge w:val="continue"/>
            <w:vAlign w:val="center"/>
          </w:tcPr>
          <w:p w14:paraId="6E70C86F">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3B1DDA5B">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建设内容和安全设施的变更情况。</w:t>
            </w:r>
          </w:p>
        </w:tc>
        <w:tc>
          <w:tcPr>
            <w:tcW w:w="2085" w:type="dxa"/>
            <w:vMerge w:val="continue"/>
            <w:vAlign w:val="center"/>
          </w:tcPr>
          <w:p w14:paraId="18892037">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41B22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617" w:type="dxa"/>
            <w:gridSpan w:val="2"/>
            <w:vMerge w:val="continue"/>
            <w:vAlign w:val="center"/>
          </w:tcPr>
          <w:p w14:paraId="656F0C07">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289" w:type="dxa"/>
            <w:gridSpan w:val="3"/>
            <w:vMerge w:val="continue"/>
            <w:vAlign w:val="center"/>
          </w:tcPr>
          <w:p w14:paraId="14B0119F">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55B0CC84">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项目施工监理情况，施工质量评定情况。</w:t>
            </w:r>
          </w:p>
        </w:tc>
        <w:tc>
          <w:tcPr>
            <w:tcW w:w="2085" w:type="dxa"/>
            <w:vMerge w:val="continue"/>
            <w:vAlign w:val="center"/>
          </w:tcPr>
          <w:p w14:paraId="4F717216">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17A1A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617" w:type="dxa"/>
            <w:gridSpan w:val="2"/>
            <w:vMerge w:val="continue"/>
            <w:vAlign w:val="center"/>
          </w:tcPr>
          <w:p w14:paraId="7348E3D6">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289" w:type="dxa"/>
            <w:gridSpan w:val="3"/>
            <w:vMerge w:val="continue"/>
            <w:vAlign w:val="center"/>
          </w:tcPr>
          <w:p w14:paraId="7A820299">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1F43E0CE">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监理过程中发现的主要问题和整改情况。</w:t>
            </w:r>
          </w:p>
        </w:tc>
        <w:tc>
          <w:tcPr>
            <w:tcW w:w="2085" w:type="dxa"/>
            <w:vMerge w:val="continue"/>
            <w:vAlign w:val="center"/>
          </w:tcPr>
          <w:p w14:paraId="38C7F397">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12985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9315" w:type="dxa"/>
            <w:gridSpan w:val="10"/>
            <w:vAlign w:val="center"/>
          </w:tcPr>
          <w:p w14:paraId="6F747918">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五、安全评价情况</w:t>
            </w:r>
          </w:p>
        </w:tc>
      </w:tr>
      <w:tr w14:paraId="0AD2D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86" w:type="dxa"/>
            <w:vMerge w:val="restart"/>
            <w:vAlign w:val="center"/>
          </w:tcPr>
          <w:p w14:paraId="2E4A8E16">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1</w:t>
            </w:r>
          </w:p>
        </w:tc>
        <w:tc>
          <w:tcPr>
            <w:tcW w:w="1320" w:type="dxa"/>
            <w:gridSpan w:val="4"/>
            <w:vMerge w:val="restart"/>
            <w:vAlign w:val="center"/>
          </w:tcPr>
          <w:p w14:paraId="2651E2A9">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安全评价机构资质</w:t>
            </w:r>
          </w:p>
        </w:tc>
        <w:tc>
          <w:tcPr>
            <w:tcW w:w="5324" w:type="dxa"/>
            <w:gridSpan w:val="4"/>
            <w:vAlign w:val="center"/>
          </w:tcPr>
          <w:p w14:paraId="494FA76D">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安全评价机构资质符合资质等级、核定业务范围、有效期以及</w:t>
            </w:r>
            <w:r>
              <w:rPr>
                <w:rFonts w:hint="eastAsia" w:ascii="Times New Roman" w:hAnsi="Times New Roman" w:eastAsia="仿宋" w:cs="仿宋"/>
                <w:color w:val="000000"/>
                <w:sz w:val="24"/>
                <w:szCs w:val="24"/>
                <w:highlight w:val="none"/>
                <w:lang w:val="en-US" w:eastAsia="zh-CN"/>
              </w:rPr>
              <w:t>应急管理部</w:t>
            </w:r>
            <w:r>
              <w:rPr>
                <w:rFonts w:hint="eastAsia" w:ascii="Times New Roman" w:hAnsi="Times New Roman" w:eastAsia="仿宋" w:cs="仿宋"/>
                <w:color w:val="000000"/>
                <w:sz w:val="24"/>
                <w:szCs w:val="24"/>
                <w:highlight w:val="none"/>
              </w:rPr>
              <w:t>、省</w:t>
            </w:r>
            <w:r>
              <w:rPr>
                <w:rFonts w:hint="eastAsia" w:ascii="Times New Roman" w:hAnsi="Times New Roman" w:eastAsia="仿宋" w:cs="仿宋"/>
                <w:color w:val="000000"/>
                <w:sz w:val="24"/>
                <w:szCs w:val="24"/>
                <w:highlight w:val="none"/>
                <w:lang w:val="en-US" w:eastAsia="zh-CN"/>
              </w:rPr>
              <w:t>应急管理厅</w:t>
            </w:r>
            <w:r>
              <w:rPr>
                <w:rFonts w:hint="eastAsia" w:ascii="Times New Roman" w:hAnsi="Times New Roman" w:eastAsia="仿宋" w:cs="仿宋"/>
                <w:color w:val="000000"/>
                <w:sz w:val="24"/>
                <w:szCs w:val="24"/>
                <w:highlight w:val="none"/>
              </w:rPr>
              <w:t>规定的要求。</w:t>
            </w:r>
          </w:p>
        </w:tc>
        <w:tc>
          <w:tcPr>
            <w:tcW w:w="2085" w:type="dxa"/>
            <w:vMerge w:val="restart"/>
            <w:vAlign w:val="center"/>
          </w:tcPr>
          <w:p w14:paraId="22072B68">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6620B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586" w:type="dxa"/>
            <w:vMerge w:val="continue"/>
            <w:vAlign w:val="center"/>
          </w:tcPr>
          <w:p w14:paraId="730B8BAE">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320" w:type="dxa"/>
            <w:gridSpan w:val="4"/>
            <w:vMerge w:val="continue"/>
            <w:vAlign w:val="center"/>
          </w:tcPr>
          <w:p w14:paraId="64F6C6DC">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5BA3E8A6">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评价人员资质、专业、数量符合相关要求的说明。</w:t>
            </w:r>
          </w:p>
        </w:tc>
        <w:tc>
          <w:tcPr>
            <w:tcW w:w="2085" w:type="dxa"/>
            <w:vMerge w:val="continue"/>
            <w:vAlign w:val="center"/>
          </w:tcPr>
          <w:p w14:paraId="7FF20A7F">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69A2D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2" w:hRule="atLeast"/>
          <w:jc w:val="center"/>
        </w:trPr>
        <w:tc>
          <w:tcPr>
            <w:tcW w:w="586" w:type="dxa"/>
            <w:vMerge w:val="continue"/>
            <w:vAlign w:val="center"/>
          </w:tcPr>
          <w:p w14:paraId="543B4A47">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320" w:type="dxa"/>
            <w:gridSpan w:val="4"/>
            <w:vMerge w:val="continue"/>
            <w:vAlign w:val="center"/>
          </w:tcPr>
          <w:p w14:paraId="3CA2240D">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75F882C1">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提供评价人员的姓名、在项目组中职务、职称、专业特长、资格证书编号以及本人签名原件(1份，其他为复制件)，评价报告有报告编制人、审核人签名原件(1份)。</w:t>
            </w:r>
          </w:p>
        </w:tc>
        <w:tc>
          <w:tcPr>
            <w:tcW w:w="2085" w:type="dxa"/>
            <w:vMerge w:val="continue"/>
            <w:vAlign w:val="center"/>
          </w:tcPr>
          <w:p w14:paraId="43D58CB1">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577BA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6" w:type="dxa"/>
            <w:vMerge w:val="restart"/>
            <w:vAlign w:val="center"/>
          </w:tcPr>
          <w:p w14:paraId="74E32B80">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2</w:t>
            </w:r>
          </w:p>
        </w:tc>
        <w:tc>
          <w:tcPr>
            <w:tcW w:w="1320" w:type="dxa"/>
            <w:gridSpan w:val="4"/>
            <w:vMerge w:val="restart"/>
            <w:vAlign w:val="center"/>
          </w:tcPr>
          <w:p w14:paraId="156A8C66">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项目概况</w:t>
            </w:r>
          </w:p>
        </w:tc>
        <w:tc>
          <w:tcPr>
            <w:tcW w:w="5324" w:type="dxa"/>
            <w:gridSpan w:val="4"/>
            <w:vAlign w:val="center"/>
          </w:tcPr>
          <w:p w14:paraId="6D7C528D">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准确界定项目评价对象、评价范围、</w:t>
            </w:r>
            <w:r>
              <w:rPr>
                <w:rFonts w:hint="eastAsia" w:ascii="Times New Roman" w:hAnsi="Times New Roman" w:eastAsia="仿宋" w:cs="仿宋"/>
                <w:color w:val="000000"/>
                <w:sz w:val="24"/>
                <w:szCs w:val="24"/>
                <w:highlight w:val="none"/>
                <w:lang w:eastAsia="zh-CN"/>
              </w:rPr>
              <w:t>评价单元、</w:t>
            </w:r>
            <w:r>
              <w:rPr>
                <w:rFonts w:hint="eastAsia" w:ascii="Times New Roman" w:hAnsi="Times New Roman" w:eastAsia="仿宋" w:cs="仿宋"/>
                <w:color w:val="000000"/>
                <w:sz w:val="24"/>
                <w:szCs w:val="24"/>
                <w:highlight w:val="none"/>
              </w:rPr>
              <w:t>评价依据及工作经过。安全评价范围明确，与项目立项批文、安全条件审查、安全设施设计审查内容一致。</w:t>
            </w:r>
          </w:p>
        </w:tc>
        <w:tc>
          <w:tcPr>
            <w:tcW w:w="2085" w:type="dxa"/>
            <w:vMerge w:val="restart"/>
            <w:vAlign w:val="center"/>
          </w:tcPr>
          <w:p w14:paraId="30B8BB07">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0AC10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7" w:hRule="atLeast"/>
          <w:jc w:val="center"/>
        </w:trPr>
        <w:tc>
          <w:tcPr>
            <w:tcW w:w="586" w:type="dxa"/>
            <w:vMerge w:val="continue"/>
            <w:vAlign w:val="center"/>
          </w:tcPr>
          <w:p w14:paraId="377CD7CC">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320" w:type="dxa"/>
            <w:gridSpan w:val="4"/>
            <w:vMerge w:val="continue"/>
            <w:vAlign w:val="center"/>
          </w:tcPr>
          <w:p w14:paraId="20950F30">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51527A41">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说明项目的地理位置、用地面积和生产（储存）规模。属现有企业新、改、扩建项目的，还应表述现有企业的基本情况，并列表说明项目建设前后，平面布局、建（构）筑物、设备设施等变化的对比。</w:t>
            </w:r>
          </w:p>
        </w:tc>
        <w:tc>
          <w:tcPr>
            <w:tcW w:w="2085" w:type="dxa"/>
            <w:vMerge w:val="continue"/>
            <w:vAlign w:val="center"/>
          </w:tcPr>
          <w:p w14:paraId="685F662C">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13863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2" w:hRule="atLeast"/>
          <w:jc w:val="center"/>
        </w:trPr>
        <w:tc>
          <w:tcPr>
            <w:tcW w:w="586" w:type="dxa"/>
            <w:vMerge w:val="continue"/>
            <w:vAlign w:val="center"/>
          </w:tcPr>
          <w:p w14:paraId="149486F6">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320" w:type="dxa"/>
            <w:gridSpan w:val="4"/>
            <w:vMerge w:val="continue"/>
            <w:vAlign w:val="center"/>
          </w:tcPr>
          <w:p w14:paraId="33E78B3E">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04EA23DB">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项目周边的居住区、单位、道路、江河、重要设施以及设计审查以后周边变化情况表述清楚；项目与已有生产、储存装置间的关系表述清楚。</w:t>
            </w:r>
          </w:p>
        </w:tc>
        <w:tc>
          <w:tcPr>
            <w:tcW w:w="2085" w:type="dxa"/>
            <w:vMerge w:val="continue"/>
            <w:vAlign w:val="center"/>
          </w:tcPr>
          <w:p w14:paraId="536EE8D1">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7FAE0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2" w:hRule="atLeast"/>
          <w:jc w:val="center"/>
        </w:trPr>
        <w:tc>
          <w:tcPr>
            <w:tcW w:w="586" w:type="dxa"/>
            <w:vMerge w:val="continue"/>
            <w:vAlign w:val="center"/>
          </w:tcPr>
          <w:p w14:paraId="5BF17AC4">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320" w:type="dxa"/>
            <w:gridSpan w:val="4"/>
            <w:vMerge w:val="continue"/>
            <w:vAlign w:val="center"/>
          </w:tcPr>
          <w:p w14:paraId="5DAC5737">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54525A0C">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报告中附项目地理位置图、区域位置图、竣工图。区域位置图中项目周边环境清楚并标注间距；竣工图至少包括总平面布置图、工艺流程图、设备布置图、可燃（有毒）气体泄漏检测报警图。</w:t>
            </w:r>
          </w:p>
        </w:tc>
        <w:tc>
          <w:tcPr>
            <w:tcW w:w="2085" w:type="dxa"/>
            <w:vMerge w:val="continue"/>
            <w:vAlign w:val="center"/>
          </w:tcPr>
          <w:p w14:paraId="5B9E9C0C">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7D3DB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jc w:val="center"/>
        </w:trPr>
        <w:tc>
          <w:tcPr>
            <w:tcW w:w="586" w:type="dxa"/>
            <w:vMerge w:val="continue"/>
            <w:vAlign w:val="center"/>
          </w:tcPr>
          <w:p w14:paraId="230241CA">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320" w:type="dxa"/>
            <w:gridSpan w:val="4"/>
            <w:vMerge w:val="continue"/>
            <w:vAlign w:val="center"/>
          </w:tcPr>
          <w:p w14:paraId="29419197">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4B26696E">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产品表述其用途，列表说明产品（中间产品）和使用的原辅材料名称、理化特性、年产量（使用量）、最大储存量、储存地点、包装及储存方式、储存条件、运输方式等内容。</w:t>
            </w:r>
          </w:p>
        </w:tc>
        <w:tc>
          <w:tcPr>
            <w:tcW w:w="2085" w:type="dxa"/>
            <w:vMerge w:val="continue"/>
            <w:vAlign w:val="center"/>
          </w:tcPr>
          <w:p w14:paraId="7A69874C">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5DBC1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atLeast"/>
          <w:jc w:val="center"/>
        </w:trPr>
        <w:tc>
          <w:tcPr>
            <w:tcW w:w="586" w:type="dxa"/>
            <w:vMerge w:val="continue"/>
            <w:vAlign w:val="center"/>
          </w:tcPr>
          <w:p w14:paraId="73EDC32E">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320" w:type="dxa"/>
            <w:gridSpan w:val="4"/>
            <w:vMerge w:val="continue"/>
            <w:vAlign w:val="center"/>
          </w:tcPr>
          <w:p w14:paraId="206D1B48">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479AA568">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准确表述每个产品的反应方程式、工艺流程图及工艺操作参数，清楚表述主要生产工艺采用的控制方式。</w:t>
            </w:r>
          </w:p>
        </w:tc>
        <w:tc>
          <w:tcPr>
            <w:tcW w:w="2085" w:type="dxa"/>
            <w:vMerge w:val="continue"/>
            <w:vAlign w:val="center"/>
          </w:tcPr>
          <w:p w14:paraId="1C220740">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55834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2" w:hRule="atLeast"/>
          <w:jc w:val="center"/>
        </w:trPr>
        <w:tc>
          <w:tcPr>
            <w:tcW w:w="586" w:type="dxa"/>
            <w:vMerge w:val="continue"/>
            <w:vAlign w:val="center"/>
          </w:tcPr>
          <w:p w14:paraId="17D2A806">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320" w:type="dxa"/>
            <w:gridSpan w:val="4"/>
            <w:vMerge w:val="continue"/>
            <w:vAlign w:val="center"/>
          </w:tcPr>
          <w:p w14:paraId="686097FB">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30358CF4">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主要设备一览表中注明关键设备的名称、规格、型号，数量、操作工况、使用介质、材质等参数齐全、正确；特种设备在备注中明确或单独列表注明。</w:t>
            </w:r>
          </w:p>
        </w:tc>
        <w:tc>
          <w:tcPr>
            <w:tcW w:w="2085" w:type="dxa"/>
            <w:vMerge w:val="continue"/>
            <w:vAlign w:val="center"/>
          </w:tcPr>
          <w:p w14:paraId="6B80D1E5">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0FC1B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586" w:type="dxa"/>
            <w:vMerge w:val="restart"/>
            <w:vAlign w:val="center"/>
          </w:tcPr>
          <w:p w14:paraId="3578AB5C">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3</w:t>
            </w:r>
          </w:p>
        </w:tc>
        <w:tc>
          <w:tcPr>
            <w:tcW w:w="1320" w:type="dxa"/>
            <w:gridSpan w:val="4"/>
            <w:vMerge w:val="restart"/>
            <w:vAlign w:val="center"/>
          </w:tcPr>
          <w:p w14:paraId="04C596A2">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危险有害</w:t>
            </w:r>
          </w:p>
          <w:p w14:paraId="1D271283">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因素分析</w:t>
            </w:r>
          </w:p>
        </w:tc>
        <w:tc>
          <w:tcPr>
            <w:tcW w:w="5324" w:type="dxa"/>
            <w:gridSpan w:val="4"/>
            <w:vAlign w:val="center"/>
          </w:tcPr>
          <w:p w14:paraId="4F33BADA">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项目内在的主要危险、有害因素表述正确，辨识全面、正确。</w:t>
            </w:r>
          </w:p>
        </w:tc>
        <w:tc>
          <w:tcPr>
            <w:tcW w:w="2085" w:type="dxa"/>
            <w:vMerge w:val="restart"/>
            <w:vAlign w:val="center"/>
          </w:tcPr>
          <w:p w14:paraId="592F6566">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7F84D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0" w:hRule="atLeast"/>
          <w:jc w:val="center"/>
        </w:trPr>
        <w:tc>
          <w:tcPr>
            <w:tcW w:w="586" w:type="dxa"/>
            <w:vMerge w:val="continue"/>
            <w:vAlign w:val="center"/>
          </w:tcPr>
          <w:p w14:paraId="0420092A">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320" w:type="dxa"/>
            <w:gridSpan w:val="4"/>
            <w:vMerge w:val="continue"/>
            <w:vAlign w:val="center"/>
          </w:tcPr>
          <w:p w14:paraId="5A707B52">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3AD3D67B">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项目总平面布置情况全面、详细，符合《化工企业总图运输设计规范》（GB50489）《工业企业总平面设计规范》（GB50187）、</w:t>
            </w:r>
            <w:r>
              <w:rPr>
                <w:rFonts w:hint="eastAsia" w:ascii="Times New Roman" w:hAnsi="Times New Roman" w:eastAsia="仿宋" w:cs="仿宋"/>
                <w:bCs w:val="0"/>
                <w:color w:val="000000"/>
                <w:kern w:val="2"/>
                <w:sz w:val="24"/>
                <w:szCs w:val="24"/>
                <w:highlight w:val="none"/>
              </w:rPr>
              <w:t>《</w:t>
            </w:r>
            <w:r>
              <w:rPr>
                <w:rFonts w:hint="eastAsia" w:ascii="Times New Roman" w:hAnsi="Times New Roman" w:eastAsia="仿宋" w:cs="仿宋"/>
                <w:bCs w:val="0"/>
                <w:color w:val="000000"/>
                <w:kern w:val="2"/>
                <w:sz w:val="24"/>
                <w:szCs w:val="24"/>
                <w:highlight w:val="none"/>
                <w:lang w:val="en-US" w:eastAsia="zh-CN"/>
              </w:rPr>
              <w:t>建筑</w:t>
            </w:r>
            <w:r>
              <w:rPr>
                <w:rFonts w:hint="eastAsia" w:ascii="Times New Roman" w:hAnsi="Times New Roman" w:eastAsia="仿宋" w:cs="仿宋"/>
                <w:bCs w:val="0"/>
                <w:color w:val="000000"/>
                <w:kern w:val="2"/>
                <w:sz w:val="24"/>
                <w:szCs w:val="24"/>
                <w:highlight w:val="none"/>
              </w:rPr>
              <w:t>设计防火规范》（GB50016）</w:t>
            </w:r>
            <w:r>
              <w:rPr>
                <w:rFonts w:hint="eastAsia" w:ascii="Times New Roman" w:hAnsi="Times New Roman" w:eastAsia="仿宋" w:cs="仿宋"/>
                <w:color w:val="000000"/>
                <w:sz w:val="24"/>
                <w:szCs w:val="24"/>
                <w:highlight w:val="none"/>
              </w:rPr>
              <w:t>等标准规范，主要装置、设施、建（构）筑物与上下游生产装置的关系明确，安全距离符合相关标准规范的规定。</w:t>
            </w:r>
          </w:p>
        </w:tc>
        <w:tc>
          <w:tcPr>
            <w:tcW w:w="2085" w:type="dxa"/>
            <w:vMerge w:val="continue"/>
            <w:vAlign w:val="center"/>
          </w:tcPr>
          <w:p w14:paraId="53EDD1DB">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51C03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0" w:hRule="atLeast"/>
          <w:jc w:val="center"/>
        </w:trPr>
        <w:tc>
          <w:tcPr>
            <w:tcW w:w="586" w:type="dxa"/>
            <w:vMerge w:val="continue"/>
            <w:vAlign w:val="center"/>
          </w:tcPr>
          <w:p w14:paraId="380617AE">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320" w:type="dxa"/>
            <w:gridSpan w:val="4"/>
            <w:vMerge w:val="continue"/>
            <w:vAlign w:val="center"/>
          </w:tcPr>
          <w:p w14:paraId="5707BEC5">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56B7487A">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危险化学品重大危险源辨识、计算、分级结果正确，按《危险化学品重大危险源辨识》（GB18218）、《危险化学品重大危险源监督管理暂行规定》（安监总局令第40号）辨识与分级，并列明重大危险源单元内主要装置、设施及生产（储存）规模，重大危险源的监控方案。</w:t>
            </w:r>
          </w:p>
        </w:tc>
        <w:tc>
          <w:tcPr>
            <w:tcW w:w="2085" w:type="dxa"/>
            <w:vMerge w:val="continue"/>
            <w:vAlign w:val="center"/>
          </w:tcPr>
          <w:p w14:paraId="1FDD4D8A">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5C6AF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586" w:type="dxa"/>
            <w:vMerge w:val="continue"/>
            <w:vAlign w:val="center"/>
          </w:tcPr>
          <w:p w14:paraId="71DAB70B">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320" w:type="dxa"/>
            <w:gridSpan w:val="4"/>
            <w:vMerge w:val="continue"/>
            <w:vAlign w:val="center"/>
          </w:tcPr>
          <w:p w14:paraId="6EE33DE6">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5B378909">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采用安全检查表评价法，评价单元划分正确并说明划分理由。</w:t>
            </w:r>
          </w:p>
        </w:tc>
        <w:tc>
          <w:tcPr>
            <w:tcW w:w="2085" w:type="dxa"/>
            <w:vMerge w:val="continue"/>
            <w:vAlign w:val="center"/>
          </w:tcPr>
          <w:p w14:paraId="0F610295">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6EC1F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jc w:val="center"/>
        </w:trPr>
        <w:tc>
          <w:tcPr>
            <w:tcW w:w="586" w:type="dxa"/>
            <w:vMerge w:val="continue"/>
            <w:vAlign w:val="center"/>
          </w:tcPr>
          <w:p w14:paraId="29B81F05">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320" w:type="dxa"/>
            <w:gridSpan w:val="4"/>
            <w:vMerge w:val="continue"/>
            <w:vAlign w:val="center"/>
          </w:tcPr>
          <w:p w14:paraId="29754F82">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7234B3FA">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固有危险程度和风险程度按《危险化学品建设项目安全评价细则》要求进行计算和分析评价，计算、分析评价有严重缺陷的为不合格。</w:t>
            </w:r>
          </w:p>
        </w:tc>
        <w:tc>
          <w:tcPr>
            <w:tcW w:w="2085" w:type="dxa"/>
            <w:vMerge w:val="continue"/>
            <w:vAlign w:val="center"/>
          </w:tcPr>
          <w:p w14:paraId="634C7E49">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063E0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jc w:val="center"/>
        </w:trPr>
        <w:tc>
          <w:tcPr>
            <w:tcW w:w="586" w:type="dxa"/>
            <w:vMerge w:val="restart"/>
            <w:vAlign w:val="center"/>
          </w:tcPr>
          <w:p w14:paraId="1C002B56">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4</w:t>
            </w:r>
          </w:p>
        </w:tc>
        <w:tc>
          <w:tcPr>
            <w:tcW w:w="1320" w:type="dxa"/>
            <w:gridSpan w:val="4"/>
            <w:vMerge w:val="restart"/>
            <w:vAlign w:val="center"/>
          </w:tcPr>
          <w:p w14:paraId="3AA6E6F8">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安全设施</w:t>
            </w:r>
          </w:p>
        </w:tc>
        <w:tc>
          <w:tcPr>
            <w:tcW w:w="5324" w:type="dxa"/>
            <w:gridSpan w:val="4"/>
            <w:vAlign w:val="center"/>
          </w:tcPr>
          <w:p w14:paraId="206CEA79">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按照《</w:t>
            </w:r>
            <w:r>
              <w:rPr>
                <w:rFonts w:hint="eastAsia" w:ascii="Times New Roman" w:hAnsi="Times New Roman" w:eastAsia="仿宋" w:cs="仿宋"/>
                <w:bCs/>
                <w:color w:val="000000"/>
                <w:sz w:val="24"/>
                <w:szCs w:val="24"/>
                <w:highlight w:val="none"/>
              </w:rPr>
              <w:t>危险化学品建设项目安全设施</w:t>
            </w:r>
            <w:r>
              <w:rPr>
                <w:rFonts w:hint="eastAsia" w:ascii="Times New Roman" w:hAnsi="Times New Roman" w:eastAsia="仿宋" w:cs="仿宋"/>
                <w:color w:val="000000"/>
                <w:sz w:val="24"/>
                <w:szCs w:val="24"/>
                <w:highlight w:val="none"/>
              </w:rPr>
              <w:t>目录》分类列出全部安全设施，并对每个安全设施说明符合或高于有关安全生产法律法规和部门规章及标准的情况。</w:t>
            </w:r>
          </w:p>
        </w:tc>
        <w:tc>
          <w:tcPr>
            <w:tcW w:w="2085" w:type="dxa"/>
            <w:vMerge w:val="restart"/>
            <w:vAlign w:val="center"/>
          </w:tcPr>
          <w:p w14:paraId="3F342559">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2E2C4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86" w:type="dxa"/>
            <w:vMerge w:val="continue"/>
            <w:vAlign w:val="center"/>
          </w:tcPr>
          <w:p w14:paraId="2E1B7B96">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320" w:type="dxa"/>
            <w:gridSpan w:val="4"/>
            <w:vMerge w:val="continue"/>
            <w:vAlign w:val="center"/>
          </w:tcPr>
          <w:p w14:paraId="6C502C43">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14E915E6">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表述施工单位名称及其资质情况，对施工质量和施工情况报告的符合性有分析结果。</w:t>
            </w:r>
          </w:p>
        </w:tc>
        <w:tc>
          <w:tcPr>
            <w:tcW w:w="2085" w:type="dxa"/>
            <w:vMerge w:val="continue"/>
            <w:vAlign w:val="center"/>
          </w:tcPr>
          <w:p w14:paraId="3C21D164">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473F6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586" w:type="dxa"/>
            <w:vMerge w:val="continue"/>
            <w:vAlign w:val="center"/>
          </w:tcPr>
          <w:p w14:paraId="2ED856DD">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320" w:type="dxa"/>
            <w:gridSpan w:val="4"/>
            <w:vMerge w:val="continue"/>
            <w:vAlign w:val="center"/>
          </w:tcPr>
          <w:p w14:paraId="5C34403F">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5EEE1E56">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表述检验检测单位及其资质情况，对安全设施的检验检测是否全面、有效</w:t>
            </w:r>
            <w:r>
              <w:rPr>
                <w:rFonts w:hint="eastAsia" w:ascii="Times New Roman" w:hAnsi="Times New Roman" w:eastAsia="仿宋" w:cs="仿宋"/>
                <w:color w:val="000000"/>
                <w:sz w:val="24"/>
                <w:szCs w:val="24"/>
                <w:highlight w:val="none"/>
                <w:lang w:eastAsia="zh-CN"/>
              </w:rPr>
              <w:t>、</w:t>
            </w:r>
            <w:r>
              <w:rPr>
                <w:rFonts w:hint="eastAsia" w:ascii="Times New Roman" w:hAnsi="Times New Roman" w:eastAsia="仿宋" w:cs="仿宋"/>
                <w:color w:val="000000"/>
                <w:sz w:val="24"/>
                <w:szCs w:val="24"/>
                <w:highlight w:val="none"/>
              </w:rPr>
              <w:t>有分析结果。</w:t>
            </w:r>
          </w:p>
        </w:tc>
        <w:tc>
          <w:tcPr>
            <w:tcW w:w="2085" w:type="dxa"/>
            <w:vMerge w:val="continue"/>
            <w:vAlign w:val="center"/>
          </w:tcPr>
          <w:p w14:paraId="64C4C462">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306A0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586" w:type="dxa"/>
            <w:vMerge w:val="continue"/>
            <w:vAlign w:val="center"/>
          </w:tcPr>
          <w:p w14:paraId="6CBA8311">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320" w:type="dxa"/>
            <w:gridSpan w:val="4"/>
            <w:vMerge w:val="continue"/>
            <w:vAlign w:val="center"/>
          </w:tcPr>
          <w:p w14:paraId="1C3B06B5">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34D42B7D">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表述安全设施试生产（使用）中的调试及运行情况，对是否满足安全运行要求有分析结果。</w:t>
            </w:r>
          </w:p>
        </w:tc>
        <w:tc>
          <w:tcPr>
            <w:tcW w:w="2085" w:type="dxa"/>
            <w:vMerge w:val="continue"/>
            <w:vAlign w:val="center"/>
          </w:tcPr>
          <w:p w14:paraId="02E4BDC3">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2D444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586" w:type="dxa"/>
            <w:vMerge w:val="restart"/>
            <w:vAlign w:val="center"/>
          </w:tcPr>
          <w:p w14:paraId="0B883526">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5</w:t>
            </w:r>
          </w:p>
        </w:tc>
        <w:tc>
          <w:tcPr>
            <w:tcW w:w="1320" w:type="dxa"/>
            <w:gridSpan w:val="4"/>
            <w:vMerge w:val="restart"/>
            <w:vAlign w:val="center"/>
          </w:tcPr>
          <w:p w14:paraId="2D8B1B14">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安全生产条件</w:t>
            </w:r>
          </w:p>
        </w:tc>
        <w:tc>
          <w:tcPr>
            <w:tcW w:w="5324" w:type="dxa"/>
            <w:gridSpan w:val="4"/>
            <w:vAlign w:val="center"/>
          </w:tcPr>
          <w:p w14:paraId="3398F0A8">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对项目是否符合国家和省产业政策，化工建设项目是否在化工集中区内分析评价，有明确的结论。</w:t>
            </w:r>
          </w:p>
        </w:tc>
        <w:tc>
          <w:tcPr>
            <w:tcW w:w="2085" w:type="dxa"/>
            <w:vMerge w:val="restart"/>
            <w:vAlign w:val="center"/>
          </w:tcPr>
          <w:p w14:paraId="11887EE8">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06061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7" w:hRule="atLeast"/>
          <w:jc w:val="center"/>
        </w:trPr>
        <w:tc>
          <w:tcPr>
            <w:tcW w:w="586" w:type="dxa"/>
            <w:vMerge w:val="continue"/>
            <w:vAlign w:val="center"/>
          </w:tcPr>
          <w:p w14:paraId="78783720">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320" w:type="dxa"/>
            <w:gridSpan w:val="4"/>
            <w:vMerge w:val="continue"/>
            <w:vAlign w:val="center"/>
          </w:tcPr>
          <w:p w14:paraId="164D1A76">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58728984">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对危险化学品生产装置或者储存数量构成重大危险源的储存设施与《危险化学品安全管理条例》规定的八类场所、设施、区域的距离，是否符合有关安全生产法律、法规、规章和国家标准或行业标准的规定分析评价，有明确的结论。</w:t>
            </w:r>
          </w:p>
        </w:tc>
        <w:tc>
          <w:tcPr>
            <w:tcW w:w="2085" w:type="dxa"/>
            <w:vMerge w:val="continue"/>
            <w:vAlign w:val="center"/>
          </w:tcPr>
          <w:p w14:paraId="003CDF3C">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10D26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5" w:hRule="atLeast"/>
          <w:jc w:val="center"/>
        </w:trPr>
        <w:tc>
          <w:tcPr>
            <w:tcW w:w="586" w:type="dxa"/>
            <w:vMerge w:val="continue"/>
            <w:vAlign w:val="center"/>
          </w:tcPr>
          <w:p w14:paraId="63DA233E">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320" w:type="dxa"/>
            <w:gridSpan w:val="4"/>
            <w:vMerge w:val="continue"/>
            <w:vAlign w:val="center"/>
          </w:tcPr>
          <w:p w14:paraId="23E13706">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23CF8BFE">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对项目与周边场所、设施等的安全距离是否符合有关规范标准的要求，企业内部总体布局是否符合有关规范标准的要求分析评价，有明确的结论。</w:t>
            </w:r>
          </w:p>
        </w:tc>
        <w:tc>
          <w:tcPr>
            <w:tcW w:w="2085" w:type="dxa"/>
            <w:vMerge w:val="continue"/>
            <w:vAlign w:val="center"/>
          </w:tcPr>
          <w:p w14:paraId="3B4E2B88">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6FA98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5" w:hRule="atLeast"/>
          <w:jc w:val="center"/>
        </w:trPr>
        <w:tc>
          <w:tcPr>
            <w:tcW w:w="586" w:type="dxa"/>
            <w:vMerge w:val="continue"/>
            <w:vAlign w:val="center"/>
          </w:tcPr>
          <w:p w14:paraId="0CC76323">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320" w:type="dxa"/>
            <w:gridSpan w:val="4"/>
            <w:vMerge w:val="continue"/>
            <w:vAlign w:val="center"/>
          </w:tcPr>
          <w:p w14:paraId="7CC64D0A">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2DAD3568">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说明项目的试生产（使用）情况，重点说明试生产（使用）过程出现的问题及其解决情况。对装置、设备和设施的运行、检修、维护情况分析评价，有明确的结论。</w:t>
            </w:r>
          </w:p>
        </w:tc>
        <w:tc>
          <w:tcPr>
            <w:tcW w:w="2085" w:type="dxa"/>
            <w:vMerge w:val="continue"/>
            <w:vAlign w:val="center"/>
          </w:tcPr>
          <w:p w14:paraId="396D1F8F">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01217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2" w:hRule="atLeast"/>
          <w:jc w:val="center"/>
        </w:trPr>
        <w:tc>
          <w:tcPr>
            <w:tcW w:w="586" w:type="dxa"/>
            <w:vMerge w:val="continue"/>
            <w:vAlign w:val="center"/>
          </w:tcPr>
          <w:p w14:paraId="04917CAF">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320" w:type="dxa"/>
            <w:gridSpan w:val="4"/>
            <w:vMerge w:val="continue"/>
            <w:vAlign w:val="center"/>
          </w:tcPr>
          <w:p w14:paraId="7D7E086F">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1EC22F51">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对项目的设计、制造、施工单位的资质是否符合规定要求，项目设计、施工的工作范围是否涵盖项目的全部内容等分析评价，有明确的结论。</w:t>
            </w:r>
          </w:p>
        </w:tc>
        <w:tc>
          <w:tcPr>
            <w:tcW w:w="2085" w:type="dxa"/>
            <w:vMerge w:val="continue"/>
            <w:vAlign w:val="center"/>
          </w:tcPr>
          <w:p w14:paraId="560890D6">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2D576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7" w:hRule="atLeast"/>
          <w:jc w:val="center"/>
        </w:trPr>
        <w:tc>
          <w:tcPr>
            <w:tcW w:w="586" w:type="dxa"/>
            <w:vMerge w:val="continue"/>
            <w:vAlign w:val="center"/>
          </w:tcPr>
          <w:p w14:paraId="0372C959">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320" w:type="dxa"/>
            <w:gridSpan w:val="4"/>
            <w:vMerge w:val="continue"/>
            <w:vAlign w:val="center"/>
          </w:tcPr>
          <w:p w14:paraId="23BCFC46">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2196595E">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对生产工艺的安全可靠性（新开发的危险化学品生产工艺在小试、中试、工业化试验的基础上逐步放大到工业化生产，国内首次使用的化工工艺，按规定进行安全可靠性论证）分析评价，有明确的结论。</w:t>
            </w:r>
          </w:p>
        </w:tc>
        <w:tc>
          <w:tcPr>
            <w:tcW w:w="2085" w:type="dxa"/>
            <w:vMerge w:val="continue"/>
            <w:vAlign w:val="center"/>
          </w:tcPr>
          <w:p w14:paraId="105F1AAF">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4EE8B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586" w:type="dxa"/>
            <w:vMerge w:val="continue"/>
            <w:vAlign w:val="center"/>
          </w:tcPr>
          <w:p w14:paraId="0C00D011">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320" w:type="dxa"/>
            <w:gridSpan w:val="4"/>
            <w:vMerge w:val="continue"/>
            <w:vAlign w:val="center"/>
          </w:tcPr>
          <w:p w14:paraId="362A849E">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7543CC2F">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对是否采用国家明令淘汰、禁止使用和危及安全生产的工艺、设备分析评价，有明确的结论。</w:t>
            </w:r>
          </w:p>
        </w:tc>
        <w:tc>
          <w:tcPr>
            <w:tcW w:w="2085" w:type="dxa"/>
            <w:vMerge w:val="continue"/>
            <w:vAlign w:val="center"/>
          </w:tcPr>
          <w:p w14:paraId="66F3152B">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377B2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2" w:hRule="atLeast"/>
          <w:jc w:val="center"/>
        </w:trPr>
        <w:tc>
          <w:tcPr>
            <w:tcW w:w="586" w:type="dxa"/>
            <w:vMerge w:val="continue"/>
            <w:vAlign w:val="center"/>
          </w:tcPr>
          <w:p w14:paraId="68FAD784">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320" w:type="dxa"/>
            <w:gridSpan w:val="4"/>
            <w:vMerge w:val="continue"/>
            <w:vAlign w:val="center"/>
          </w:tcPr>
          <w:p w14:paraId="53A19983">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23F21EC6">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对涉及危险化工工艺、重点监管危险化学品的生产装置和高危储存设施的自动控制情况分析评价（涉及危险化工工艺、重点监管危险化学品的装置应装设自动化控制系统；涉及危险化工工艺的大型化工装置应装设紧急停车系统；涉及易燃易爆、有毒有害气体化学品的场所应装设易燃易爆、有毒有害介质泄漏报警等安全设施），有明确的结论。</w:t>
            </w:r>
          </w:p>
        </w:tc>
        <w:tc>
          <w:tcPr>
            <w:tcW w:w="2085" w:type="dxa"/>
            <w:vMerge w:val="continue"/>
            <w:vAlign w:val="center"/>
          </w:tcPr>
          <w:p w14:paraId="6F81435C">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3BF6B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7" w:hRule="atLeast"/>
          <w:jc w:val="center"/>
        </w:trPr>
        <w:tc>
          <w:tcPr>
            <w:tcW w:w="586" w:type="dxa"/>
            <w:vMerge w:val="continue"/>
            <w:vAlign w:val="center"/>
          </w:tcPr>
          <w:p w14:paraId="357ED14F">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320" w:type="dxa"/>
            <w:gridSpan w:val="4"/>
            <w:vMerge w:val="continue"/>
            <w:vAlign w:val="center"/>
          </w:tcPr>
          <w:p w14:paraId="5B9A8D6E">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6D9FD0A6">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对生产区与非生产区是否分开设置，危险化学品生产装置和储存设施之间及其建（构）筑物之间的距离是否符合有关标准规范规定分析评价，有明确的结论。</w:t>
            </w:r>
          </w:p>
        </w:tc>
        <w:tc>
          <w:tcPr>
            <w:tcW w:w="2085" w:type="dxa"/>
            <w:vMerge w:val="continue"/>
            <w:vAlign w:val="center"/>
          </w:tcPr>
          <w:p w14:paraId="4264730D">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5B9F2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2" w:hRule="atLeast"/>
          <w:jc w:val="center"/>
        </w:trPr>
        <w:tc>
          <w:tcPr>
            <w:tcW w:w="586" w:type="dxa"/>
            <w:vMerge w:val="continue"/>
            <w:vAlign w:val="center"/>
          </w:tcPr>
          <w:p w14:paraId="218B7BB6">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320" w:type="dxa"/>
            <w:gridSpan w:val="4"/>
            <w:vMerge w:val="continue"/>
            <w:vAlign w:val="center"/>
          </w:tcPr>
          <w:p w14:paraId="4BE553EE">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1317B4F4">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依托原有生产、储存条件的，对其依托条件的安全可靠性分析评价，有明确的结论。</w:t>
            </w:r>
          </w:p>
        </w:tc>
        <w:tc>
          <w:tcPr>
            <w:tcW w:w="2085" w:type="dxa"/>
            <w:vMerge w:val="continue"/>
            <w:vAlign w:val="center"/>
          </w:tcPr>
          <w:p w14:paraId="6176D631">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0AF48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586" w:type="dxa"/>
            <w:vMerge w:val="restart"/>
            <w:vAlign w:val="center"/>
          </w:tcPr>
          <w:p w14:paraId="5A028494">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color w:val="000000"/>
                <w:sz w:val="24"/>
                <w:szCs w:val="24"/>
                <w:highlight w:val="none"/>
                <w:lang w:eastAsia="zh-CN"/>
              </w:rPr>
            </w:pPr>
            <w:r>
              <w:rPr>
                <w:rFonts w:hint="eastAsia" w:ascii="Times New Roman" w:hAnsi="Times New Roman" w:eastAsia="仿宋" w:cs="仿宋"/>
                <w:color w:val="000000"/>
                <w:sz w:val="24"/>
                <w:szCs w:val="24"/>
                <w:highlight w:val="none"/>
                <w:lang w:val="en-US" w:eastAsia="zh-CN"/>
              </w:rPr>
              <w:t>6</w:t>
            </w:r>
          </w:p>
        </w:tc>
        <w:tc>
          <w:tcPr>
            <w:tcW w:w="1320" w:type="dxa"/>
            <w:gridSpan w:val="4"/>
            <w:vMerge w:val="restart"/>
            <w:vAlign w:val="center"/>
          </w:tcPr>
          <w:p w14:paraId="7E795CDF">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重大危险源管理</w:t>
            </w:r>
          </w:p>
        </w:tc>
        <w:tc>
          <w:tcPr>
            <w:tcW w:w="5324" w:type="dxa"/>
            <w:gridSpan w:val="4"/>
            <w:vAlign w:val="center"/>
          </w:tcPr>
          <w:p w14:paraId="3F4E987D">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重大危险源辨识是否准确分析评价，有明确的结论。</w:t>
            </w:r>
          </w:p>
        </w:tc>
        <w:tc>
          <w:tcPr>
            <w:tcW w:w="2085" w:type="dxa"/>
            <w:vMerge w:val="restart"/>
            <w:vAlign w:val="center"/>
          </w:tcPr>
          <w:p w14:paraId="609A5880">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7F6BD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7" w:hRule="atLeast"/>
          <w:jc w:val="center"/>
        </w:trPr>
        <w:tc>
          <w:tcPr>
            <w:tcW w:w="586" w:type="dxa"/>
            <w:vMerge w:val="continue"/>
            <w:vAlign w:val="center"/>
          </w:tcPr>
          <w:p w14:paraId="667FC85C">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320" w:type="dxa"/>
            <w:gridSpan w:val="4"/>
            <w:vMerge w:val="continue"/>
            <w:vAlign w:val="center"/>
          </w:tcPr>
          <w:p w14:paraId="4B42F8CF">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6C082865">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对危险化学品重大危险源安全管理和监测监控措施是否符合《危险化学品重大危险源监督管理暂行规定》（安监总局令第40号）的要求分析评价，有明确的结论。</w:t>
            </w:r>
          </w:p>
        </w:tc>
        <w:tc>
          <w:tcPr>
            <w:tcW w:w="2085" w:type="dxa"/>
            <w:vMerge w:val="continue"/>
            <w:vAlign w:val="center"/>
          </w:tcPr>
          <w:p w14:paraId="72E1D930">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4C39F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2" w:hRule="atLeast"/>
          <w:jc w:val="center"/>
        </w:trPr>
        <w:tc>
          <w:tcPr>
            <w:tcW w:w="586" w:type="dxa"/>
            <w:vMerge w:val="restart"/>
            <w:vAlign w:val="center"/>
          </w:tcPr>
          <w:p w14:paraId="18950501">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color w:val="000000"/>
                <w:sz w:val="24"/>
                <w:szCs w:val="24"/>
                <w:highlight w:val="none"/>
                <w:lang w:eastAsia="zh-CN"/>
              </w:rPr>
            </w:pPr>
            <w:r>
              <w:rPr>
                <w:rFonts w:hint="eastAsia" w:ascii="Times New Roman" w:hAnsi="Times New Roman" w:eastAsia="仿宋" w:cs="仿宋"/>
                <w:color w:val="000000"/>
                <w:sz w:val="24"/>
                <w:szCs w:val="24"/>
                <w:highlight w:val="none"/>
                <w:lang w:val="en-US" w:eastAsia="zh-CN"/>
              </w:rPr>
              <w:t>7</w:t>
            </w:r>
          </w:p>
        </w:tc>
        <w:tc>
          <w:tcPr>
            <w:tcW w:w="1320" w:type="dxa"/>
            <w:gridSpan w:val="4"/>
            <w:vMerge w:val="restart"/>
            <w:vAlign w:val="center"/>
          </w:tcPr>
          <w:p w14:paraId="5CCE67B1">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安全管理制度与保障措施</w:t>
            </w:r>
          </w:p>
        </w:tc>
        <w:tc>
          <w:tcPr>
            <w:tcW w:w="5324" w:type="dxa"/>
            <w:gridSpan w:val="4"/>
            <w:vAlign w:val="center"/>
          </w:tcPr>
          <w:p w14:paraId="0D1E1F68">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对企业安全管理机构设置及人员配备，安全生产责任制、规章制度、安全操作规程，人员培训及考核和持证上岗，安全生产投入、工伤保险，危险化学品登记等方面，依据国家和省有关要求，进行分析评价，有明确的结论。</w:t>
            </w:r>
          </w:p>
        </w:tc>
        <w:tc>
          <w:tcPr>
            <w:tcW w:w="2085" w:type="dxa"/>
            <w:vMerge w:val="restart"/>
            <w:vAlign w:val="center"/>
          </w:tcPr>
          <w:p w14:paraId="44000871">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475BB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7" w:hRule="atLeast"/>
          <w:jc w:val="center"/>
        </w:trPr>
        <w:tc>
          <w:tcPr>
            <w:tcW w:w="586" w:type="dxa"/>
            <w:vMerge w:val="continue"/>
            <w:vAlign w:val="center"/>
          </w:tcPr>
          <w:p w14:paraId="683CACB3">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320" w:type="dxa"/>
            <w:gridSpan w:val="4"/>
            <w:vMerge w:val="continue"/>
            <w:vAlign w:val="center"/>
          </w:tcPr>
          <w:p w14:paraId="34034BD3">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0FA6678F">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对与项目有关的法律、法规和国家标准或行业标准规定的其它安全生产条件，如：涉及剧毒物品治安防范要求的符合性，事故状态下清净下水要求的符合性等，进行分析和符合性评价，有明确的结论。</w:t>
            </w:r>
          </w:p>
        </w:tc>
        <w:tc>
          <w:tcPr>
            <w:tcW w:w="2085" w:type="dxa"/>
            <w:vMerge w:val="continue"/>
            <w:vAlign w:val="center"/>
          </w:tcPr>
          <w:p w14:paraId="30D7B583">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72282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586" w:type="dxa"/>
            <w:vMerge w:val="continue"/>
            <w:vAlign w:val="center"/>
          </w:tcPr>
          <w:p w14:paraId="0609E032">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320" w:type="dxa"/>
            <w:gridSpan w:val="4"/>
            <w:vMerge w:val="continue"/>
            <w:vAlign w:val="center"/>
          </w:tcPr>
          <w:p w14:paraId="78D45A83">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02BA8CB3">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对安全管理的执行情况，对照企业现场实际抽查，验证评价报告的真实性。</w:t>
            </w:r>
          </w:p>
        </w:tc>
        <w:tc>
          <w:tcPr>
            <w:tcW w:w="2085" w:type="dxa"/>
            <w:vMerge w:val="continue"/>
            <w:vAlign w:val="center"/>
          </w:tcPr>
          <w:p w14:paraId="69AF06C5">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02043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2" w:hRule="atLeast"/>
          <w:jc w:val="center"/>
        </w:trPr>
        <w:tc>
          <w:tcPr>
            <w:tcW w:w="586" w:type="dxa"/>
            <w:vMerge w:val="continue"/>
            <w:vAlign w:val="center"/>
          </w:tcPr>
          <w:p w14:paraId="53650C90">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320" w:type="dxa"/>
            <w:gridSpan w:val="4"/>
            <w:vMerge w:val="continue"/>
            <w:vAlign w:val="center"/>
          </w:tcPr>
          <w:p w14:paraId="3C9F5838">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1193144B">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对危险化学品事故应急预案的完整性、针对性、可操作性及演练记录进行分析评价，有明确的结论。</w:t>
            </w:r>
          </w:p>
        </w:tc>
        <w:tc>
          <w:tcPr>
            <w:tcW w:w="2085" w:type="dxa"/>
            <w:vMerge w:val="continue"/>
            <w:vAlign w:val="center"/>
          </w:tcPr>
          <w:p w14:paraId="2DE4EA0A">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1969F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586" w:type="dxa"/>
            <w:vMerge w:val="continue"/>
            <w:vAlign w:val="center"/>
          </w:tcPr>
          <w:p w14:paraId="06EAB67A">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320" w:type="dxa"/>
            <w:gridSpan w:val="4"/>
            <w:vMerge w:val="continue"/>
            <w:vAlign w:val="center"/>
          </w:tcPr>
          <w:p w14:paraId="30762C0F">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23A97AFB">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列出配备的事故应急器材、设施情况，并对其针对性、可靠性及有效性分析评价，有明确的结论。</w:t>
            </w:r>
          </w:p>
        </w:tc>
        <w:tc>
          <w:tcPr>
            <w:tcW w:w="2085" w:type="dxa"/>
            <w:vMerge w:val="continue"/>
            <w:vAlign w:val="center"/>
          </w:tcPr>
          <w:p w14:paraId="6AD484C2">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3A4C3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2" w:hRule="atLeast"/>
          <w:jc w:val="center"/>
        </w:trPr>
        <w:tc>
          <w:tcPr>
            <w:tcW w:w="586" w:type="dxa"/>
            <w:vMerge w:val="continue"/>
            <w:vAlign w:val="center"/>
          </w:tcPr>
          <w:p w14:paraId="60150C2A">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320" w:type="dxa"/>
            <w:gridSpan w:val="4"/>
            <w:vMerge w:val="continue"/>
            <w:vAlign w:val="center"/>
          </w:tcPr>
          <w:p w14:paraId="1707773A">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34F228BF">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生产、储存和使用氯气、氨气、光气、硫化氢等吸入性有毒有害气体的企业，配备的防护装备是否符合规定要求，需设立气体防护站（组）的，是否按规定设立等进行分析评价，有明确的结论。</w:t>
            </w:r>
          </w:p>
        </w:tc>
        <w:tc>
          <w:tcPr>
            <w:tcW w:w="2085" w:type="dxa"/>
            <w:vMerge w:val="continue"/>
            <w:vAlign w:val="center"/>
          </w:tcPr>
          <w:p w14:paraId="1524C3C3">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7230E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586" w:type="dxa"/>
            <w:vMerge w:val="continue"/>
            <w:vAlign w:val="center"/>
          </w:tcPr>
          <w:p w14:paraId="7A8DA082">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320" w:type="dxa"/>
            <w:gridSpan w:val="4"/>
            <w:vMerge w:val="continue"/>
            <w:vAlign w:val="center"/>
          </w:tcPr>
          <w:p w14:paraId="4F656D1D">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10176DEB">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验收评价中发现的事故隐患、不安全因素，按要求进行整改，有复查结果。</w:t>
            </w:r>
          </w:p>
        </w:tc>
        <w:tc>
          <w:tcPr>
            <w:tcW w:w="2085" w:type="dxa"/>
            <w:vMerge w:val="continue"/>
            <w:vAlign w:val="center"/>
          </w:tcPr>
          <w:p w14:paraId="0773331D">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36D91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jc w:val="center"/>
        </w:trPr>
        <w:tc>
          <w:tcPr>
            <w:tcW w:w="586" w:type="dxa"/>
            <w:vMerge w:val="continue"/>
            <w:vAlign w:val="center"/>
          </w:tcPr>
          <w:p w14:paraId="4233B085">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320" w:type="dxa"/>
            <w:gridSpan w:val="4"/>
            <w:vMerge w:val="continue"/>
            <w:vAlign w:val="center"/>
          </w:tcPr>
          <w:p w14:paraId="1E650B1B">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44B09360">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改、扩建项目说明原有装置、设施的安全生产状况，包括存在的事故隐患或发生过的生产安全事故，以及改、扩建后的安全措施落实情况。</w:t>
            </w:r>
          </w:p>
        </w:tc>
        <w:tc>
          <w:tcPr>
            <w:tcW w:w="2085" w:type="dxa"/>
            <w:vMerge w:val="continue"/>
            <w:vAlign w:val="center"/>
          </w:tcPr>
          <w:p w14:paraId="4548F590">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75894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586" w:type="dxa"/>
            <w:vMerge w:val="continue"/>
            <w:vAlign w:val="center"/>
          </w:tcPr>
          <w:p w14:paraId="524AD8BB">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320" w:type="dxa"/>
            <w:gridSpan w:val="4"/>
            <w:vMerge w:val="continue"/>
            <w:vAlign w:val="center"/>
          </w:tcPr>
          <w:p w14:paraId="58ADF434">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0D3F4EFC">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试生产（使用）中发现的设计缺陷和事故隐患进行整改，有整改复查的结果。</w:t>
            </w:r>
          </w:p>
        </w:tc>
        <w:tc>
          <w:tcPr>
            <w:tcW w:w="2085" w:type="dxa"/>
            <w:vMerge w:val="continue"/>
            <w:vAlign w:val="center"/>
          </w:tcPr>
          <w:p w14:paraId="4D907A89">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3FC02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586" w:type="dxa"/>
            <w:vMerge w:val="continue"/>
            <w:vAlign w:val="center"/>
          </w:tcPr>
          <w:p w14:paraId="038258BB">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320" w:type="dxa"/>
            <w:gridSpan w:val="4"/>
            <w:vMerge w:val="continue"/>
            <w:vAlign w:val="center"/>
          </w:tcPr>
          <w:p w14:paraId="056C6155">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057F895A">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说明安全设施设计专篇中的安全技术措施，在施工过程中的落实情况。</w:t>
            </w:r>
          </w:p>
        </w:tc>
        <w:tc>
          <w:tcPr>
            <w:tcW w:w="2085" w:type="dxa"/>
            <w:vMerge w:val="continue"/>
            <w:vAlign w:val="center"/>
          </w:tcPr>
          <w:p w14:paraId="262D8283">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08409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5" w:hRule="atLeast"/>
          <w:jc w:val="center"/>
        </w:trPr>
        <w:tc>
          <w:tcPr>
            <w:tcW w:w="586" w:type="dxa"/>
            <w:vMerge w:val="restart"/>
            <w:vAlign w:val="center"/>
          </w:tcPr>
          <w:p w14:paraId="3BED9A4F">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color w:val="000000"/>
                <w:sz w:val="24"/>
                <w:szCs w:val="24"/>
                <w:highlight w:val="none"/>
                <w:lang w:eastAsia="zh-CN"/>
              </w:rPr>
            </w:pPr>
            <w:r>
              <w:rPr>
                <w:rFonts w:hint="eastAsia" w:ascii="Times New Roman" w:hAnsi="Times New Roman" w:eastAsia="仿宋" w:cs="仿宋"/>
                <w:color w:val="000000"/>
                <w:sz w:val="24"/>
                <w:szCs w:val="24"/>
                <w:highlight w:val="none"/>
                <w:lang w:val="en-US" w:eastAsia="zh-CN"/>
              </w:rPr>
              <w:t>8</w:t>
            </w:r>
          </w:p>
        </w:tc>
        <w:tc>
          <w:tcPr>
            <w:tcW w:w="1320" w:type="dxa"/>
            <w:gridSpan w:val="4"/>
            <w:vMerge w:val="restart"/>
            <w:vAlign w:val="center"/>
          </w:tcPr>
          <w:p w14:paraId="2D8BDB49">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结论与建议</w:t>
            </w:r>
          </w:p>
        </w:tc>
        <w:tc>
          <w:tcPr>
            <w:tcW w:w="5324" w:type="dxa"/>
            <w:gridSpan w:val="4"/>
            <w:vAlign w:val="center"/>
          </w:tcPr>
          <w:p w14:paraId="5F47E96B">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对建设项目所在地的安全条件和与周边的安全距离，技术、工艺和装置、设备（设施）的安全、可靠性和安全水平等，有明确的结论。</w:t>
            </w:r>
          </w:p>
        </w:tc>
        <w:tc>
          <w:tcPr>
            <w:tcW w:w="2085" w:type="dxa"/>
            <w:vMerge w:val="restart"/>
            <w:vAlign w:val="center"/>
          </w:tcPr>
          <w:p w14:paraId="4FB2E2B3">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2C3C2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jc w:val="center"/>
        </w:trPr>
        <w:tc>
          <w:tcPr>
            <w:tcW w:w="586" w:type="dxa"/>
            <w:vMerge w:val="continue"/>
            <w:vAlign w:val="center"/>
          </w:tcPr>
          <w:p w14:paraId="76E51E17">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320" w:type="dxa"/>
            <w:gridSpan w:val="4"/>
            <w:vMerge w:val="continue"/>
            <w:vAlign w:val="center"/>
          </w:tcPr>
          <w:p w14:paraId="37EEEFCC">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27529597">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对安全设施设计的采纳情况和已采用的安全设施水平有明确的结论。</w:t>
            </w:r>
          </w:p>
        </w:tc>
        <w:tc>
          <w:tcPr>
            <w:tcW w:w="2085" w:type="dxa"/>
            <w:vMerge w:val="continue"/>
            <w:vAlign w:val="center"/>
          </w:tcPr>
          <w:p w14:paraId="591716F5">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1D998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7" w:hRule="atLeast"/>
          <w:jc w:val="center"/>
        </w:trPr>
        <w:tc>
          <w:tcPr>
            <w:tcW w:w="586" w:type="dxa"/>
            <w:vMerge w:val="continue"/>
            <w:vAlign w:val="center"/>
          </w:tcPr>
          <w:p w14:paraId="40E969E9">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320" w:type="dxa"/>
            <w:gridSpan w:val="4"/>
            <w:vMerge w:val="continue"/>
            <w:vAlign w:val="center"/>
          </w:tcPr>
          <w:p w14:paraId="693F76B0">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37305A8F">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对建设项目是否具备的相关安全生产法律、法规和部门规章及标准规范规定的安全生产条件，有明确的结论。</w:t>
            </w:r>
          </w:p>
        </w:tc>
        <w:tc>
          <w:tcPr>
            <w:tcW w:w="2085" w:type="dxa"/>
            <w:vMerge w:val="continue"/>
            <w:vAlign w:val="center"/>
          </w:tcPr>
          <w:p w14:paraId="1659CF69">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75121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2" w:hRule="atLeast"/>
          <w:jc w:val="center"/>
        </w:trPr>
        <w:tc>
          <w:tcPr>
            <w:tcW w:w="586" w:type="dxa"/>
            <w:vMerge w:val="continue"/>
            <w:vAlign w:val="center"/>
          </w:tcPr>
          <w:p w14:paraId="7229CFD8">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320" w:type="dxa"/>
            <w:gridSpan w:val="4"/>
            <w:vMerge w:val="continue"/>
            <w:vAlign w:val="center"/>
          </w:tcPr>
          <w:p w14:paraId="5F7C3870">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0BFB52B4">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对应领取安全生产相关许可证的，对企业是否具备申领许可证的安全生产条件逐项评价，有明确结论。</w:t>
            </w:r>
          </w:p>
        </w:tc>
        <w:tc>
          <w:tcPr>
            <w:tcW w:w="2085" w:type="dxa"/>
            <w:vMerge w:val="continue"/>
            <w:vAlign w:val="center"/>
          </w:tcPr>
          <w:p w14:paraId="38E5A086">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34F85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7" w:hRule="atLeast"/>
          <w:jc w:val="center"/>
        </w:trPr>
        <w:tc>
          <w:tcPr>
            <w:tcW w:w="586" w:type="dxa"/>
            <w:vMerge w:val="continue"/>
            <w:vAlign w:val="center"/>
          </w:tcPr>
          <w:p w14:paraId="74E9C3E6">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320" w:type="dxa"/>
            <w:gridSpan w:val="4"/>
            <w:vMerge w:val="continue"/>
            <w:vAlign w:val="center"/>
          </w:tcPr>
          <w:p w14:paraId="54E3728E">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6A7B1AC2">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对在已有的安全设施和对策措施基础上，在安全设施的更新与改进，安全条件和安全生产条件的完善与维护，主要装置（设施）和特种设备的维护与保养，安全生产投入等方面，提出进一步改进或更高的安全措施建议，有针对性、可行性。</w:t>
            </w:r>
          </w:p>
        </w:tc>
        <w:tc>
          <w:tcPr>
            <w:tcW w:w="2085" w:type="dxa"/>
            <w:vMerge w:val="continue"/>
            <w:vAlign w:val="center"/>
          </w:tcPr>
          <w:p w14:paraId="1292C644">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0790E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jc w:val="center"/>
        </w:trPr>
        <w:tc>
          <w:tcPr>
            <w:tcW w:w="586" w:type="dxa"/>
            <w:vMerge w:val="continue"/>
            <w:vAlign w:val="center"/>
          </w:tcPr>
          <w:p w14:paraId="44891108">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320" w:type="dxa"/>
            <w:gridSpan w:val="4"/>
            <w:vMerge w:val="continue"/>
            <w:vAlign w:val="center"/>
          </w:tcPr>
          <w:p w14:paraId="2DF48906">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0E0E1F8F">
            <w:pPr>
              <w:pStyle w:val="10"/>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报告中附评价机构与建设单位的交换意见表，双方签章。对达不成一致意见的予以充分说明。</w:t>
            </w:r>
          </w:p>
        </w:tc>
        <w:tc>
          <w:tcPr>
            <w:tcW w:w="2085" w:type="dxa"/>
            <w:vMerge w:val="continue"/>
            <w:vAlign w:val="center"/>
          </w:tcPr>
          <w:p w14:paraId="0149C86A">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6ECB2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7" w:hRule="atLeast"/>
          <w:jc w:val="center"/>
        </w:trPr>
        <w:tc>
          <w:tcPr>
            <w:tcW w:w="586" w:type="dxa"/>
            <w:vMerge w:val="restart"/>
            <w:vAlign w:val="center"/>
          </w:tcPr>
          <w:p w14:paraId="6367DAB8">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lang w:val="en-US" w:eastAsia="zh-CN"/>
              </w:rPr>
            </w:pPr>
            <w:r>
              <w:rPr>
                <w:rFonts w:hint="eastAsia" w:ascii="Times New Roman" w:hAnsi="Times New Roman" w:eastAsia="仿宋" w:cs="仿宋"/>
                <w:color w:val="000000"/>
                <w:sz w:val="24"/>
                <w:szCs w:val="24"/>
                <w:highlight w:val="none"/>
                <w:lang w:val="en-US" w:eastAsia="zh-CN"/>
              </w:rPr>
              <w:t>9</w:t>
            </w:r>
          </w:p>
        </w:tc>
        <w:tc>
          <w:tcPr>
            <w:tcW w:w="1320" w:type="dxa"/>
            <w:gridSpan w:val="4"/>
            <w:vMerge w:val="restart"/>
            <w:vAlign w:val="center"/>
          </w:tcPr>
          <w:p w14:paraId="5D46D45E">
            <w:pPr>
              <w:keepNext w:val="0"/>
              <w:keepLines w:val="0"/>
              <w:pageBreakBefore w:val="0"/>
              <w:widowControl w:val="0"/>
              <w:kinsoku/>
              <w:overflowPunct/>
              <w:topLinePunct w:val="0"/>
              <w:autoSpaceDE/>
              <w:autoSpaceDN/>
              <w:bidi w:val="0"/>
              <w:adjustRightInd/>
              <w:snapToGrid/>
              <w:spacing w:before="0" w:after="0" w:line="320" w:lineRule="exact"/>
              <w:ind w:left="0" w:leftChars="0"/>
              <w:jc w:val="center"/>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附件</w:t>
            </w:r>
          </w:p>
        </w:tc>
        <w:tc>
          <w:tcPr>
            <w:tcW w:w="5324" w:type="dxa"/>
            <w:gridSpan w:val="4"/>
            <w:vAlign w:val="center"/>
          </w:tcPr>
          <w:p w14:paraId="75EB059E">
            <w:pPr>
              <w:pStyle w:val="10"/>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安全评价报告附件符合《危险化学品建设项目安全评价细则》的相关要求。</w:t>
            </w:r>
          </w:p>
        </w:tc>
        <w:tc>
          <w:tcPr>
            <w:tcW w:w="2085" w:type="dxa"/>
            <w:vAlign w:val="center"/>
          </w:tcPr>
          <w:p w14:paraId="1438107A">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r w14:paraId="0E00E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3" w:hRule="atLeast"/>
          <w:jc w:val="center"/>
        </w:trPr>
        <w:tc>
          <w:tcPr>
            <w:tcW w:w="586" w:type="dxa"/>
            <w:vMerge w:val="continue"/>
            <w:vAlign w:val="center"/>
          </w:tcPr>
          <w:p w14:paraId="554655C2">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c>
          <w:tcPr>
            <w:tcW w:w="1320" w:type="dxa"/>
            <w:gridSpan w:val="4"/>
            <w:vMerge w:val="continue"/>
            <w:vAlign w:val="center"/>
          </w:tcPr>
          <w:p w14:paraId="15AF02CA">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p>
        </w:tc>
        <w:tc>
          <w:tcPr>
            <w:tcW w:w="5324" w:type="dxa"/>
            <w:gridSpan w:val="4"/>
            <w:vAlign w:val="center"/>
          </w:tcPr>
          <w:p w14:paraId="09E2E2CC">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附件包括以下内容：</w:t>
            </w:r>
          </w:p>
          <w:p w14:paraId="592152E3">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(1)地理位置图、区域位置图、竣工图</w:t>
            </w:r>
            <w:r>
              <w:rPr>
                <w:rFonts w:hint="eastAsia" w:ascii="Times New Roman" w:hAnsi="Times New Roman" w:eastAsia="仿宋" w:cs="仿宋"/>
                <w:color w:val="000000"/>
                <w:sz w:val="24"/>
                <w:szCs w:val="24"/>
                <w:highlight w:val="none"/>
                <w:lang w:eastAsia="zh-CN"/>
              </w:rPr>
              <w:t>、</w:t>
            </w:r>
            <w:r>
              <w:rPr>
                <w:rFonts w:hint="eastAsia" w:ascii="Times New Roman" w:hAnsi="Times New Roman" w:eastAsia="仿宋" w:cs="仿宋"/>
                <w:color w:val="000000"/>
                <w:sz w:val="24"/>
                <w:szCs w:val="24"/>
                <w:highlight w:val="none"/>
              </w:rPr>
              <w:t>爆炸危险区域划分</w:t>
            </w:r>
            <w:r>
              <w:rPr>
                <w:rFonts w:hint="eastAsia" w:ascii="Times New Roman" w:hAnsi="Times New Roman" w:eastAsia="仿宋" w:cs="仿宋"/>
                <w:color w:val="000000"/>
                <w:sz w:val="24"/>
                <w:szCs w:val="24"/>
                <w:highlight w:val="none"/>
                <w:lang w:eastAsia="zh-CN"/>
              </w:rPr>
              <w:t>图或安全风险分布图</w:t>
            </w:r>
            <w:r>
              <w:rPr>
                <w:rFonts w:hint="eastAsia" w:ascii="Times New Roman" w:hAnsi="Times New Roman" w:eastAsia="仿宋" w:cs="仿宋"/>
                <w:color w:val="000000"/>
                <w:sz w:val="24"/>
                <w:szCs w:val="24"/>
                <w:highlight w:val="none"/>
              </w:rPr>
              <w:t>；</w:t>
            </w:r>
          </w:p>
          <w:p w14:paraId="2F0C34E0">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(2)选定的安全评价方法简介；</w:t>
            </w:r>
          </w:p>
          <w:p w14:paraId="4E41F486">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(3)定性、定量分析危险、有害程度的过程；</w:t>
            </w:r>
          </w:p>
          <w:p w14:paraId="503BD044">
            <w:pPr>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(4)安全评价依据的全面、正确、有效的有关法律、法规、规章、标准和规范及收集的文件资料目录；</w:t>
            </w:r>
          </w:p>
          <w:p w14:paraId="55665FE9">
            <w:pPr>
              <w:pStyle w:val="10"/>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(5)检测检验情况的汇总表（由项目单位、评价机构双方确认盖章）；</w:t>
            </w:r>
          </w:p>
          <w:p w14:paraId="0C6D480F">
            <w:pPr>
              <w:pStyle w:val="10"/>
              <w:keepNext w:val="0"/>
              <w:keepLines w:val="0"/>
              <w:pageBreakBefore w:val="0"/>
              <w:widowControl w:val="0"/>
              <w:kinsoku/>
              <w:overflowPunct/>
              <w:topLinePunct w:val="0"/>
              <w:autoSpaceDE/>
              <w:autoSpaceDN/>
              <w:bidi w:val="0"/>
              <w:adjustRightInd/>
              <w:snapToGrid/>
              <w:spacing w:before="0" w:after="0" w:line="320" w:lineRule="exact"/>
              <w:ind w:left="0" w:leftChars="0"/>
              <w:rPr>
                <w:rFonts w:hint="eastAsia" w:ascii="Times New Roman" w:hAnsi="Times New Roman" w:eastAsia="仿宋" w:cs="仿宋"/>
                <w:color w:val="000000"/>
                <w:sz w:val="24"/>
                <w:szCs w:val="24"/>
                <w:highlight w:val="none"/>
              </w:rPr>
            </w:pPr>
            <w:r>
              <w:rPr>
                <w:rFonts w:hint="eastAsia" w:ascii="Times New Roman" w:hAnsi="Times New Roman" w:eastAsia="仿宋" w:cs="仿宋"/>
                <w:color w:val="000000"/>
                <w:sz w:val="24"/>
                <w:szCs w:val="24"/>
                <w:highlight w:val="none"/>
              </w:rPr>
              <w:t>(6)审查需要的其他申请材料。</w:t>
            </w:r>
          </w:p>
        </w:tc>
        <w:tc>
          <w:tcPr>
            <w:tcW w:w="2085" w:type="dxa"/>
            <w:vAlign w:val="center"/>
          </w:tcPr>
          <w:p w14:paraId="2328FA24">
            <w:pPr>
              <w:keepNext w:val="0"/>
              <w:keepLines w:val="0"/>
              <w:pageBreakBefore w:val="0"/>
              <w:widowControl w:val="0"/>
              <w:kinsoku/>
              <w:overflowPunct/>
              <w:topLinePunct w:val="0"/>
              <w:autoSpaceDE/>
              <w:autoSpaceDN/>
              <w:bidi w:val="0"/>
              <w:adjustRightInd/>
              <w:snapToGrid/>
              <w:spacing w:before="0" w:after="0" w:line="320" w:lineRule="exact"/>
              <w:ind w:left="0" w:leftChars="0"/>
              <w:jc w:val="left"/>
              <w:rPr>
                <w:rFonts w:hint="eastAsia" w:ascii="Times New Roman" w:hAnsi="Times New Roman" w:eastAsia="仿宋" w:cs="仿宋"/>
                <w:color w:val="000000"/>
                <w:sz w:val="24"/>
                <w:szCs w:val="24"/>
                <w:highlight w:val="none"/>
              </w:rPr>
            </w:pPr>
          </w:p>
        </w:tc>
      </w:tr>
    </w:tbl>
    <w:p w14:paraId="0878B2B7">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0" w:firstLineChars="0"/>
        <w:jc w:val="both"/>
        <w:textAlignment w:val="auto"/>
        <w:outlineLvl w:val="9"/>
        <w:rPr>
          <w:rFonts w:ascii="Times New Roman" w:hAnsi="Times New Roman"/>
          <w:color w:val="000000"/>
          <w:highlight w:val="none"/>
        </w:rPr>
      </w:pPr>
      <w:r>
        <w:rPr>
          <w:rFonts w:ascii="Times New Roman" w:hAnsi="Times New Roman"/>
          <w:color w:val="000000"/>
          <w:highlight w:val="none"/>
        </w:rPr>
        <w:br w:type="page"/>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4"/>
      </w:tblGrid>
      <w:tr w14:paraId="236DA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8" w:hRule="exact"/>
          <w:jc w:val="center"/>
        </w:trPr>
        <w:tc>
          <w:tcPr>
            <w:tcW w:w="8854" w:type="dxa"/>
            <w:tcBorders>
              <w:top w:val="single" w:color="auto" w:sz="4" w:space="0"/>
              <w:left w:val="single" w:color="auto" w:sz="4" w:space="0"/>
              <w:bottom w:val="single" w:color="auto" w:sz="4" w:space="0"/>
              <w:right w:val="single" w:color="auto" w:sz="4" w:space="0"/>
            </w:tcBorders>
            <w:vAlign w:val="center"/>
          </w:tcPr>
          <w:p w14:paraId="68E7609E">
            <w:pPr>
              <w:keepNext w:val="0"/>
              <w:keepLines w:val="0"/>
              <w:pageBreakBefore w:val="0"/>
              <w:widowControl w:val="0"/>
              <w:kinsoku/>
              <w:overflowPunct/>
              <w:topLinePunct w:val="0"/>
              <w:autoSpaceDE/>
              <w:autoSpaceDN/>
              <w:bidi w:val="0"/>
              <w:adjustRightInd/>
              <w:snapToGrid/>
              <w:spacing w:before="31" w:beforeLines="10" w:after="31" w:afterLines="10" w:line="580" w:lineRule="exact"/>
              <w:ind w:left="0" w:leftChars="0"/>
              <w:rPr>
                <w:rFonts w:hint="eastAsia" w:ascii="Times New Roman" w:hAnsi="Times New Roman"/>
                <w:b/>
                <w:color w:val="000000"/>
                <w:sz w:val="24"/>
                <w:szCs w:val="24"/>
                <w:highlight w:val="none"/>
              </w:rPr>
            </w:pPr>
            <w:r>
              <w:rPr>
                <w:rFonts w:hint="eastAsia" w:ascii="Times New Roman" w:hAnsi="Times New Roman"/>
                <w:b/>
                <w:color w:val="000000"/>
                <w:sz w:val="24"/>
                <w:szCs w:val="24"/>
                <w:highlight w:val="none"/>
              </w:rPr>
              <w:t>审查结论：</w:t>
            </w:r>
          </w:p>
          <w:p w14:paraId="7492895B">
            <w:pPr>
              <w:keepNext w:val="0"/>
              <w:keepLines w:val="0"/>
              <w:pageBreakBefore w:val="0"/>
              <w:widowControl w:val="0"/>
              <w:kinsoku/>
              <w:overflowPunct/>
              <w:topLinePunct w:val="0"/>
              <w:autoSpaceDE/>
              <w:autoSpaceDN/>
              <w:bidi w:val="0"/>
              <w:adjustRightInd/>
              <w:snapToGrid/>
              <w:spacing w:before="31" w:beforeLines="10" w:after="31" w:afterLines="10" w:line="580" w:lineRule="exact"/>
              <w:ind w:left="0" w:leftChars="0"/>
              <w:rPr>
                <w:rFonts w:hint="eastAsia" w:ascii="Times New Roman" w:hAnsi="Times New Roman"/>
                <w:b/>
                <w:color w:val="000000"/>
                <w:sz w:val="24"/>
                <w:szCs w:val="24"/>
                <w:highlight w:val="none"/>
              </w:rPr>
            </w:pPr>
          </w:p>
          <w:p w14:paraId="1E5CBC90">
            <w:pPr>
              <w:keepNext w:val="0"/>
              <w:keepLines w:val="0"/>
              <w:pageBreakBefore w:val="0"/>
              <w:widowControl w:val="0"/>
              <w:kinsoku/>
              <w:overflowPunct/>
              <w:topLinePunct w:val="0"/>
              <w:autoSpaceDE/>
              <w:autoSpaceDN/>
              <w:bidi w:val="0"/>
              <w:adjustRightInd/>
              <w:snapToGrid/>
              <w:spacing w:before="31" w:beforeLines="10" w:after="31" w:afterLines="10" w:line="580" w:lineRule="exact"/>
              <w:ind w:left="0" w:leftChars="0"/>
              <w:rPr>
                <w:rFonts w:hint="eastAsia" w:ascii="Times New Roman" w:hAnsi="Times New Roman"/>
                <w:b/>
                <w:color w:val="000000"/>
                <w:sz w:val="24"/>
                <w:szCs w:val="24"/>
                <w:highlight w:val="none"/>
              </w:rPr>
            </w:pPr>
          </w:p>
          <w:p w14:paraId="5D06D28B">
            <w:pPr>
              <w:keepNext w:val="0"/>
              <w:keepLines w:val="0"/>
              <w:pageBreakBefore w:val="0"/>
              <w:widowControl w:val="0"/>
              <w:kinsoku/>
              <w:overflowPunct/>
              <w:topLinePunct w:val="0"/>
              <w:autoSpaceDE/>
              <w:autoSpaceDN/>
              <w:bidi w:val="0"/>
              <w:adjustRightInd/>
              <w:snapToGrid/>
              <w:spacing w:before="31" w:beforeLines="10" w:after="31" w:afterLines="10" w:line="580" w:lineRule="exact"/>
              <w:ind w:left="0" w:leftChars="0"/>
              <w:rPr>
                <w:rFonts w:hint="eastAsia" w:ascii="Times New Roman" w:hAnsi="Times New Roman"/>
                <w:b/>
                <w:color w:val="000000"/>
                <w:sz w:val="24"/>
                <w:szCs w:val="24"/>
                <w:highlight w:val="none"/>
              </w:rPr>
            </w:pPr>
          </w:p>
          <w:p w14:paraId="0EB82110">
            <w:pPr>
              <w:keepNext w:val="0"/>
              <w:keepLines w:val="0"/>
              <w:pageBreakBefore w:val="0"/>
              <w:widowControl w:val="0"/>
              <w:kinsoku/>
              <w:overflowPunct/>
              <w:topLinePunct w:val="0"/>
              <w:autoSpaceDE/>
              <w:autoSpaceDN/>
              <w:bidi w:val="0"/>
              <w:adjustRightInd/>
              <w:snapToGrid/>
              <w:spacing w:before="31" w:beforeLines="10" w:after="31" w:afterLines="10" w:line="580" w:lineRule="exact"/>
              <w:ind w:left="0" w:leftChars="0"/>
              <w:rPr>
                <w:rFonts w:hint="eastAsia" w:ascii="Times New Roman" w:hAnsi="Times New Roman"/>
                <w:b/>
                <w:color w:val="000000"/>
                <w:sz w:val="24"/>
                <w:szCs w:val="24"/>
                <w:highlight w:val="none"/>
              </w:rPr>
            </w:pPr>
          </w:p>
          <w:p w14:paraId="58765946">
            <w:pPr>
              <w:keepNext w:val="0"/>
              <w:keepLines w:val="0"/>
              <w:pageBreakBefore w:val="0"/>
              <w:widowControl w:val="0"/>
              <w:kinsoku/>
              <w:overflowPunct/>
              <w:topLinePunct w:val="0"/>
              <w:autoSpaceDE/>
              <w:autoSpaceDN/>
              <w:bidi w:val="0"/>
              <w:adjustRightInd/>
              <w:snapToGrid/>
              <w:spacing w:before="31" w:beforeLines="10" w:after="31" w:afterLines="10" w:line="580" w:lineRule="exact"/>
              <w:ind w:left="0" w:leftChars="0"/>
              <w:rPr>
                <w:rFonts w:hint="eastAsia" w:ascii="Times New Roman" w:hAnsi="Times New Roman"/>
                <w:b/>
                <w:color w:val="000000"/>
                <w:sz w:val="24"/>
                <w:szCs w:val="24"/>
                <w:highlight w:val="none"/>
              </w:rPr>
            </w:pPr>
          </w:p>
          <w:p w14:paraId="5006BCF3">
            <w:pPr>
              <w:keepNext w:val="0"/>
              <w:keepLines w:val="0"/>
              <w:pageBreakBefore w:val="0"/>
              <w:widowControl w:val="0"/>
              <w:kinsoku/>
              <w:overflowPunct/>
              <w:topLinePunct w:val="0"/>
              <w:autoSpaceDE/>
              <w:autoSpaceDN/>
              <w:bidi w:val="0"/>
              <w:adjustRightInd/>
              <w:snapToGrid/>
              <w:spacing w:before="31" w:beforeLines="10" w:after="31" w:afterLines="10" w:line="580" w:lineRule="exact"/>
              <w:ind w:left="0" w:leftChars="0"/>
              <w:rPr>
                <w:rFonts w:hint="eastAsia" w:ascii="Times New Roman" w:hAnsi="Times New Roman"/>
                <w:b/>
                <w:color w:val="000000"/>
                <w:sz w:val="24"/>
                <w:szCs w:val="24"/>
                <w:highlight w:val="none"/>
              </w:rPr>
            </w:pPr>
          </w:p>
          <w:p w14:paraId="334FCA62">
            <w:pPr>
              <w:keepNext w:val="0"/>
              <w:keepLines w:val="0"/>
              <w:pageBreakBefore w:val="0"/>
              <w:widowControl w:val="0"/>
              <w:kinsoku/>
              <w:overflowPunct/>
              <w:topLinePunct w:val="0"/>
              <w:autoSpaceDE/>
              <w:autoSpaceDN/>
              <w:bidi w:val="0"/>
              <w:adjustRightInd/>
              <w:snapToGrid/>
              <w:spacing w:before="31" w:beforeLines="10" w:after="31" w:afterLines="10" w:line="580" w:lineRule="exact"/>
              <w:ind w:left="0" w:leftChars="0"/>
              <w:rPr>
                <w:rFonts w:hint="eastAsia" w:ascii="Times New Roman" w:hAnsi="Times New Roman"/>
                <w:b/>
                <w:color w:val="000000"/>
                <w:sz w:val="24"/>
                <w:szCs w:val="24"/>
                <w:highlight w:val="none"/>
              </w:rPr>
            </w:pPr>
          </w:p>
          <w:p w14:paraId="478C6D45">
            <w:pPr>
              <w:keepNext w:val="0"/>
              <w:keepLines w:val="0"/>
              <w:pageBreakBefore w:val="0"/>
              <w:widowControl w:val="0"/>
              <w:kinsoku/>
              <w:overflowPunct/>
              <w:topLinePunct w:val="0"/>
              <w:autoSpaceDE/>
              <w:autoSpaceDN/>
              <w:bidi w:val="0"/>
              <w:adjustRightInd/>
              <w:snapToGrid/>
              <w:spacing w:before="31" w:beforeLines="10" w:after="31" w:afterLines="10" w:line="580" w:lineRule="exact"/>
              <w:ind w:left="0" w:leftChars="0"/>
              <w:rPr>
                <w:rFonts w:hint="eastAsia" w:ascii="Times New Roman" w:hAnsi="Times New Roman"/>
                <w:b/>
                <w:color w:val="000000"/>
                <w:sz w:val="24"/>
                <w:szCs w:val="24"/>
                <w:highlight w:val="none"/>
              </w:rPr>
            </w:pPr>
          </w:p>
          <w:p w14:paraId="2E258535">
            <w:pPr>
              <w:keepNext w:val="0"/>
              <w:keepLines w:val="0"/>
              <w:pageBreakBefore w:val="0"/>
              <w:widowControl w:val="0"/>
              <w:kinsoku/>
              <w:overflowPunct/>
              <w:topLinePunct w:val="0"/>
              <w:autoSpaceDE/>
              <w:autoSpaceDN/>
              <w:bidi w:val="0"/>
              <w:adjustRightInd/>
              <w:snapToGrid/>
              <w:spacing w:before="31" w:beforeLines="10" w:after="31" w:afterLines="10" w:line="580" w:lineRule="exact"/>
              <w:ind w:left="0" w:leftChars="0"/>
              <w:rPr>
                <w:rFonts w:hint="eastAsia" w:ascii="Times New Roman" w:hAnsi="Times New Roman"/>
                <w:b/>
                <w:color w:val="000000"/>
                <w:sz w:val="24"/>
                <w:szCs w:val="24"/>
                <w:highlight w:val="none"/>
              </w:rPr>
            </w:pPr>
          </w:p>
          <w:p w14:paraId="7E4BB9F5">
            <w:pPr>
              <w:keepNext w:val="0"/>
              <w:keepLines w:val="0"/>
              <w:pageBreakBefore w:val="0"/>
              <w:widowControl w:val="0"/>
              <w:kinsoku/>
              <w:overflowPunct/>
              <w:topLinePunct w:val="0"/>
              <w:autoSpaceDE/>
              <w:autoSpaceDN/>
              <w:bidi w:val="0"/>
              <w:adjustRightInd/>
              <w:snapToGrid/>
              <w:spacing w:before="31" w:beforeLines="10" w:after="31" w:afterLines="10" w:line="580" w:lineRule="exact"/>
              <w:ind w:left="0" w:leftChars="0"/>
              <w:rPr>
                <w:rFonts w:hint="eastAsia" w:ascii="Times New Roman" w:hAnsi="Times New Roman"/>
                <w:b/>
                <w:color w:val="000000"/>
                <w:sz w:val="24"/>
                <w:szCs w:val="24"/>
                <w:highlight w:val="none"/>
              </w:rPr>
            </w:pPr>
          </w:p>
          <w:p w14:paraId="78DD9D54">
            <w:pPr>
              <w:keepNext w:val="0"/>
              <w:keepLines w:val="0"/>
              <w:pageBreakBefore w:val="0"/>
              <w:widowControl w:val="0"/>
              <w:kinsoku/>
              <w:overflowPunct/>
              <w:topLinePunct w:val="0"/>
              <w:autoSpaceDE/>
              <w:autoSpaceDN/>
              <w:bidi w:val="0"/>
              <w:adjustRightInd/>
              <w:snapToGrid/>
              <w:spacing w:before="31" w:beforeLines="10" w:after="31" w:afterLines="10" w:line="580" w:lineRule="exact"/>
              <w:ind w:left="0" w:leftChars="0"/>
              <w:rPr>
                <w:rFonts w:hint="eastAsia" w:ascii="Times New Roman" w:hAnsi="Times New Roman"/>
                <w:b/>
                <w:color w:val="000000"/>
                <w:sz w:val="24"/>
                <w:szCs w:val="24"/>
                <w:highlight w:val="none"/>
              </w:rPr>
            </w:pPr>
          </w:p>
          <w:p w14:paraId="48399C57">
            <w:pPr>
              <w:keepNext w:val="0"/>
              <w:keepLines w:val="0"/>
              <w:pageBreakBefore w:val="0"/>
              <w:widowControl w:val="0"/>
              <w:kinsoku/>
              <w:overflowPunct/>
              <w:topLinePunct w:val="0"/>
              <w:autoSpaceDE/>
              <w:autoSpaceDN/>
              <w:bidi w:val="0"/>
              <w:adjustRightInd/>
              <w:snapToGrid/>
              <w:spacing w:before="31" w:beforeLines="10" w:after="31" w:afterLines="10" w:line="580" w:lineRule="exact"/>
              <w:ind w:left="0" w:leftChars="0"/>
              <w:rPr>
                <w:rFonts w:hint="eastAsia" w:ascii="Times New Roman" w:hAnsi="Times New Roman"/>
                <w:b/>
                <w:color w:val="000000"/>
                <w:sz w:val="24"/>
                <w:szCs w:val="24"/>
                <w:highlight w:val="none"/>
              </w:rPr>
            </w:pPr>
          </w:p>
          <w:p w14:paraId="146E6094">
            <w:pPr>
              <w:keepNext w:val="0"/>
              <w:keepLines w:val="0"/>
              <w:pageBreakBefore w:val="0"/>
              <w:widowControl w:val="0"/>
              <w:kinsoku/>
              <w:overflowPunct/>
              <w:topLinePunct w:val="0"/>
              <w:autoSpaceDE/>
              <w:autoSpaceDN/>
              <w:bidi w:val="0"/>
              <w:adjustRightInd/>
              <w:snapToGrid/>
              <w:spacing w:before="31" w:beforeLines="10" w:after="31" w:afterLines="10" w:line="580" w:lineRule="exact"/>
              <w:ind w:left="0" w:leftChars="0"/>
              <w:rPr>
                <w:rFonts w:hint="eastAsia" w:ascii="Times New Roman" w:hAnsi="Times New Roman"/>
                <w:b/>
                <w:color w:val="000000"/>
                <w:sz w:val="24"/>
                <w:szCs w:val="24"/>
                <w:highlight w:val="none"/>
              </w:rPr>
            </w:pPr>
          </w:p>
          <w:p w14:paraId="568B2D43">
            <w:pPr>
              <w:keepNext w:val="0"/>
              <w:keepLines w:val="0"/>
              <w:pageBreakBefore w:val="0"/>
              <w:widowControl w:val="0"/>
              <w:kinsoku/>
              <w:overflowPunct/>
              <w:topLinePunct w:val="0"/>
              <w:autoSpaceDE/>
              <w:autoSpaceDN/>
              <w:bidi w:val="0"/>
              <w:adjustRightInd/>
              <w:snapToGrid/>
              <w:spacing w:before="31" w:beforeLines="10" w:after="31" w:afterLines="10" w:line="580" w:lineRule="exact"/>
              <w:ind w:left="0" w:leftChars="0"/>
              <w:rPr>
                <w:rFonts w:hint="eastAsia" w:ascii="Times New Roman" w:hAnsi="Times New Roman"/>
                <w:b/>
                <w:color w:val="000000"/>
                <w:sz w:val="24"/>
                <w:szCs w:val="24"/>
                <w:highlight w:val="none"/>
                <w:u w:val="single"/>
              </w:rPr>
            </w:pPr>
            <w:r>
              <w:rPr>
                <w:rFonts w:hint="eastAsia" w:ascii="Times New Roman" w:hAnsi="Times New Roman"/>
                <w:b/>
                <w:color w:val="000000"/>
                <w:sz w:val="24"/>
                <w:szCs w:val="24"/>
                <w:highlight w:val="none"/>
              </w:rPr>
              <w:t xml:space="preserve">                           审查人员签字：                                     </w:t>
            </w:r>
          </w:p>
          <w:p w14:paraId="6DC0906E">
            <w:pPr>
              <w:keepNext w:val="0"/>
              <w:keepLines w:val="0"/>
              <w:pageBreakBefore w:val="0"/>
              <w:widowControl w:val="0"/>
              <w:kinsoku/>
              <w:overflowPunct/>
              <w:topLinePunct w:val="0"/>
              <w:autoSpaceDE/>
              <w:autoSpaceDN/>
              <w:bidi w:val="0"/>
              <w:adjustRightInd/>
              <w:snapToGrid/>
              <w:spacing w:before="31" w:beforeLines="10" w:after="31" w:afterLines="10" w:line="580" w:lineRule="exact"/>
              <w:ind w:left="0" w:leftChars="0"/>
              <w:rPr>
                <w:rFonts w:hint="eastAsia" w:ascii="Times New Roman" w:hAnsi="Times New Roman"/>
                <w:b/>
                <w:color w:val="000000"/>
                <w:sz w:val="24"/>
                <w:szCs w:val="24"/>
                <w:highlight w:val="none"/>
                <w:u w:val="single"/>
              </w:rPr>
            </w:pPr>
          </w:p>
          <w:p w14:paraId="64D3A286">
            <w:pPr>
              <w:keepNext w:val="0"/>
              <w:keepLines w:val="0"/>
              <w:pageBreakBefore w:val="0"/>
              <w:widowControl w:val="0"/>
              <w:kinsoku/>
              <w:overflowPunct/>
              <w:topLinePunct w:val="0"/>
              <w:autoSpaceDE/>
              <w:autoSpaceDN/>
              <w:bidi w:val="0"/>
              <w:adjustRightInd/>
              <w:snapToGrid/>
              <w:spacing w:line="580" w:lineRule="exact"/>
              <w:ind w:left="0" w:leftChars="0"/>
              <w:jc w:val="center"/>
              <w:rPr>
                <w:rFonts w:hint="eastAsia" w:ascii="Times New Roman" w:hAnsi="Times New Roman"/>
                <w:b/>
                <w:color w:val="000000"/>
                <w:sz w:val="24"/>
                <w:szCs w:val="24"/>
                <w:highlight w:val="none"/>
              </w:rPr>
            </w:pPr>
            <w:r>
              <w:rPr>
                <w:rFonts w:hint="eastAsia" w:ascii="Times New Roman" w:hAnsi="Times New Roman"/>
                <w:b/>
                <w:color w:val="000000"/>
                <w:sz w:val="24"/>
                <w:szCs w:val="24"/>
                <w:highlight w:val="none"/>
              </w:rPr>
              <w:t xml:space="preserve">                                              年     月    日</w:t>
            </w:r>
          </w:p>
          <w:p w14:paraId="2854D09D">
            <w:pPr>
              <w:keepNext w:val="0"/>
              <w:keepLines w:val="0"/>
              <w:pageBreakBefore w:val="0"/>
              <w:widowControl w:val="0"/>
              <w:kinsoku/>
              <w:overflowPunct/>
              <w:topLinePunct w:val="0"/>
              <w:autoSpaceDE/>
              <w:autoSpaceDN/>
              <w:bidi w:val="0"/>
              <w:adjustRightInd/>
              <w:snapToGrid/>
              <w:spacing w:line="580" w:lineRule="exact"/>
              <w:ind w:left="0" w:leftChars="0"/>
              <w:jc w:val="center"/>
              <w:rPr>
                <w:rFonts w:hint="eastAsia" w:ascii="Times New Roman" w:hAnsi="Times New Roman"/>
                <w:b/>
                <w:color w:val="000000"/>
                <w:sz w:val="24"/>
                <w:szCs w:val="24"/>
                <w:highlight w:val="none"/>
              </w:rPr>
            </w:pPr>
          </w:p>
          <w:p w14:paraId="03AF1B60">
            <w:pPr>
              <w:keepNext w:val="0"/>
              <w:keepLines w:val="0"/>
              <w:pageBreakBefore w:val="0"/>
              <w:widowControl w:val="0"/>
              <w:kinsoku/>
              <w:overflowPunct/>
              <w:topLinePunct w:val="0"/>
              <w:autoSpaceDE/>
              <w:autoSpaceDN/>
              <w:bidi w:val="0"/>
              <w:adjustRightInd/>
              <w:snapToGrid/>
              <w:spacing w:line="580" w:lineRule="exact"/>
              <w:ind w:left="0" w:leftChars="0"/>
              <w:jc w:val="center"/>
              <w:rPr>
                <w:rFonts w:hint="eastAsia" w:ascii="Times New Roman" w:hAnsi="Times New Roman"/>
                <w:b/>
                <w:color w:val="000000"/>
                <w:sz w:val="24"/>
                <w:szCs w:val="24"/>
                <w:highlight w:val="none"/>
              </w:rPr>
            </w:pPr>
          </w:p>
          <w:p w14:paraId="7EE8AF2E">
            <w:pPr>
              <w:keepNext w:val="0"/>
              <w:keepLines w:val="0"/>
              <w:pageBreakBefore w:val="0"/>
              <w:widowControl w:val="0"/>
              <w:kinsoku/>
              <w:overflowPunct/>
              <w:topLinePunct w:val="0"/>
              <w:autoSpaceDE/>
              <w:autoSpaceDN/>
              <w:bidi w:val="0"/>
              <w:adjustRightInd/>
              <w:snapToGrid/>
              <w:spacing w:line="580" w:lineRule="exact"/>
              <w:ind w:left="0" w:leftChars="0"/>
              <w:jc w:val="center"/>
              <w:rPr>
                <w:rFonts w:hint="eastAsia" w:ascii="Times New Roman" w:hAnsi="Times New Roman"/>
                <w:b/>
                <w:color w:val="000000"/>
                <w:sz w:val="24"/>
                <w:szCs w:val="24"/>
                <w:highlight w:val="none"/>
              </w:rPr>
            </w:pPr>
          </w:p>
        </w:tc>
      </w:tr>
      <w:tr w14:paraId="5F304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7" w:hRule="exact"/>
          <w:jc w:val="center"/>
        </w:trPr>
        <w:tc>
          <w:tcPr>
            <w:tcW w:w="8854" w:type="dxa"/>
          </w:tcPr>
          <w:p w14:paraId="08D40E44">
            <w:pPr>
              <w:keepNext w:val="0"/>
              <w:keepLines w:val="0"/>
              <w:pageBreakBefore w:val="0"/>
              <w:widowControl w:val="0"/>
              <w:kinsoku/>
              <w:overflowPunct/>
              <w:topLinePunct w:val="0"/>
              <w:autoSpaceDE/>
              <w:autoSpaceDN/>
              <w:bidi w:val="0"/>
              <w:adjustRightInd/>
              <w:snapToGrid/>
              <w:spacing w:before="31" w:beforeLines="10" w:after="31" w:afterLines="10" w:line="580" w:lineRule="exact"/>
              <w:ind w:left="0" w:leftChars="0"/>
              <w:rPr>
                <w:rFonts w:hint="eastAsia" w:ascii="Times New Roman" w:hAnsi="Times New Roman"/>
                <w:b/>
                <w:color w:val="000000"/>
                <w:sz w:val="24"/>
                <w:szCs w:val="24"/>
                <w:highlight w:val="none"/>
              </w:rPr>
            </w:pPr>
            <w:r>
              <w:rPr>
                <w:rFonts w:hint="eastAsia" w:ascii="Times New Roman" w:hAnsi="Times New Roman"/>
                <w:b/>
                <w:color w:val="000000"/>
                <w:sz w:val="24"/>
                <w:szCs w:val="24"/>
                <w:highlight w:val="none"/>
              </w:rPr>
              <w:t>验收工作组对整改意见的整改完成情况确认：</w:t>
            </w:r>
          </w:p>
          <w:p w14:paraId="406D928C">
            <w:pPr>
              <w:keepNext w:val="0"/>
              <w:keepLines w:val="0"/>
              <w:pageBreakBefore w:val="0"/>
              <w:widowControl w:val="0"/>
              <w:kinsoku/>
              <w:overflowPunct/>
              <w:topLinePunct w:val="0"/>
              <w:autoSpaceDE/>
              <w:autoSpaceDN/>
              <w:bidi w:val="0"/>
              <w:adjustRightInd/>
              <w:snapToGrid/>
              <w:spacing w:before="31" w:beforeLines="10" w:after="31" w:afterLines="10" w:line="580" w:lineRule="exact"/>
              <w:ind w:left="0" w:leftChars="0"/>
              <w:rPr>
                <w:rFonts w:hint="eastAsia" w:ascii="Times New Roman" w:hAnsi="Times New Roman"/>
                <w:b/>
                <w:color w:val="000000"/>
                <w:sz w:val="24"/>
                <w:szCs w:val="24"/>
                <w:highlight w:val="none"/>
              </w:rPr>
            </w:pPr>
          </w:p>
          <w:p w14:paraId="1183668A">
            <w:pPr>
              <w:keepNext w:val="0"/>
              <w:keepLines w:val="0"/>
              <w:pageBreakBefore w:val="0"/>
              <w:widowControl w:val="0"/>
              <w:kinsoku/>
              <w:overflowPunct/>
              <w:topLinePunct w:val="0"/>
              <w:autoSpaceDE/>
              <w:autoSpaceDN/>
              <w:bidi w:val="0"/>
              <w:adjustRightInd/>
              <w:snapToGrid/>
              <w:spacing w:before="31" w:beforeLines="10" w:after="31" w:afterLines="10" w:line="580" w:lineRule="exact"/>
              <w:ind w:left="0" w:leftChars="0"/>
              <w:rPr>
                <w:rFonts w:hint="eastAsia" w:ascii="Times New Roman" w:hAnsi="Times New Roman"/>
                <w:b/>
                <w:color w:val="000000"/>
                <w:sz w:val="24"/>
                <w:szCs w:val="24"/>
                <w:highlight w:val="none"/>
              </w:rPr>
            </w:pPr>
          </w:p>
          <w:p w14:paraId="1DFC015F">
            <w:pPr>
              <w:keepNext w:val="0"/>
              <w:keepLines w:val="0"/>
              <w:pageBreakBefore w:val="0"/>
              <w:widowControl w:val="0"/>
              <w:kinsoku/>
              <w:overflowPunct/>
              <w:topLinePunct w:val="0"/>
              <w:autoSpaceDE/>
              <w:autoSpaceDN/>
              <w:bidi w:val="0"/>
              <w:adjustRightInd/>
              <w:snapToGrid/>
              <w:spacing w:before="31" w:beforeLines="10" w:after="31" w:afterLines="10" w:line="580" w:lineRule="exact"/>
              <w:ind w:left="0" w:leftChars="0"/>
              <w:rPr>
                <w:rFonts w:hint="eastAsia" w:ascii="Times New Roman" w:hAnsi="Times New Roman"/>
                <w:b/>
                <w:color w:val="000000"/>
                <w:sz w:val="24"/>
                <w:szCs w:val="24"/>
                <w:highlight w:val="none"/>
              </w:rPr>
            </w:pPr>
          </w:p>
          <w:p w14:paraId="13E0D45B">
            <w:pPr>
              <w:keepNext w:val="0"/>
              <w:keepLines w:val="0"/>
              <w:pageBreakBefore w:val="0"/>
              <w:widowControl w:val="0"/>
              <w:kinsoku/>
              <w:overflowPunct/>
              <w:topLinePunct w:val="0"/>
              <w:autoSpaceDE/>
              <w:autoSpaceDN/>
              <w:bidi w:val="0"/>
              <w:adjustRightInd/>
              <w:snapToGrid/>
              <w:spacing w:before="31" w:beforeLines="10" w:after="31" w:afterLines="10" w:line="580" w:lineRule="exact"/>
              <w:ind w:left="0" w:leftChars="0"/>
              <w:rPr>
                <w:rFonts w:hint="eastAsia" w:ascii="Times New Roman" w:hAnsi="Times New Roman"/>
                <w:b/>
                <w:color w:val="000000"/>
                <w:sz w:val="24"/>
                <w:szCs w:val="24"/>
                <w:highlight w:val="none"/>
              </w:rPr>
            </w:pPr>
          </w:p>
          <w:p w14:paraId="0667A709">
            <w:pPr>
              <w:keepNext w:val="0"/>
              <w:keepLines w:val="0"/>
              <w:pageBreakBefore w:val="0"/>
              <w:widowControl w:val="0"/>
              <w:kinsoku/>
              <w:overflowPunct/>
              <w:topLinePunct w:val="0"/>
              <w:autoSpaceDE/>
              <w:autoSpaceDN/>
              <w:bidi w:val="0"/>
              <w:adjustRightInd/>
              <w:snapToGrid/>
              <w:spacing w:before="31" w:beforeLines="10" w:after="31" w:afterLines="10" w:line="580" w:lineRule="exact"/>
              <w:ind w:left="0" w:leftChars="0"/>
              <w:rPr>
                <w:rFonts w:hint="eastAsia" w:ascii="Times New Roman" w:hAnsi="Times New Roman"/>
                <w:b/>
                <w:color w:val="000000"/>
                <w:sz w:val="24"/>
                <w:szCs w:val="24"/>
                <w:highlight w:val="none"/>
              </w:rPr>
            </w:pPr>
          </w:p>
          <w:p w14:paraId="79BF1AF0">
            <w:pPr>
              <w:keepNext w:val="0"/>
              <w:keepLines w:val="0"/>
              <w:pageBreakBefore w:val="0"/>
              <w:widowControl w:val="0"/>
              <w:kinsoku/>
              <w:overflowPunct/>
              <w:topLinePunct w:val="0"/>
              <w:autoSpaceDE/>
              <w:autoSpaceDN/>
              <w:bidi w:val="0"/>
              <w:adjustRightInd/>
              <w:snapToGrid/>
              <w:spacing w:before="31" w:beforeLines="10" w:after="31" w:afterLines="10" w:line="580" w:lineRule="exact"/>
              <w:ind w:left="0" w:leftChars="0"/>
              <w:rPr>
                <w:rFonts w:hint="eastAsia" w:ascii="Times New Roman" w:hAnsi="Times New Roman"/>
                <w:b/>
                <w:color w:val="000000"/>
                <w:sz w:val="24"/>
                <w:szCs w:val="24"/>
                <w:highlight w:val="none"/>
              </w:rPr>
            </w:pPr>
          </w:p>
          <w:p w14:paraId="69328E3A">
            <w:pPr>
              <w:keepNext w:val="0"/>
              <w:keepLines w:val="0"/>
              <w:pageBreakBefore w:val="0"/>
              <w:widowControl w:val="0"/>
              <w:kinsoku/>
              <w:overflowPunct/>
              <w:topLinePunct w:val="0"/>
              <w:autoSpaceDE/>
              <w:autoSpaceDN/>
              <w:bidi w:val="0"/>
              <w:adjustRightInd/>
              <w:snapToGrid/>
              <w:spacing w:before="31" w:beforeLines="10" w:after="31" w:afterLines="10" w:line="580" w:lineRule="exact"/>
              <w:ind w:left="0" w:leftChars="0"/>
              <w:rPr>
                <w:rFonts w:hint="eastAsia" w:ascii="Times New Roman" w:hAnsi="Times New Roman"/>
                <w:b/>
                <w:color w:val="000000"/>
                <w:sz w:val="24"/>
                <w:szCs w:val="24"/>
                <w:highlight w:val="none"/>
              </w:rPr>
            </w:pPr>
          </w:p>
          <w:p w14:paraId="6909BECE">
            <w:pPr>
              <w:keepNext w:val="0"/>
              <w:keepLines w:val="0"/>
              <w:pageBreakBefore w:val="0"/>
              <w:widowControl w:val="0"/>
              <w:kinsoku/>
              <w:overflowPunct/>
              <w:topLinePunct w:val="0"/>
              <w:autoSpaceDE/>
              <w:autoSpaceDN/>
              <w:bidi w:val="0"/>
              <w:adjustRightInd/>
              <w:snapToGrid/>
              <w:spacing w:before="31" w:beforeLines="10" w:after="31" w:afterLines="10" w:line="580" w:lineRule="exact"/>
              <w:ind w:left="0" w:leftChars="0"/>
              <w:rPr>
                <w:rFonts w:hint="eastAsia" w:ascii="Times New Roman" w:hAnsi="Times New Roman"/>
                <w:b/>
                <w:color w:val="000000"/>
                <w:sz w:val="24"/>
                <w:szCs w:val="24"/>
                <w:highlight w:val="none"/>
              </w:rPr>
            </w:pPr>
          </w:p>
          <w:p w14:paraId="1A3A854E">
            <w:pPr>
              <w:keepNext w:val="0"/>
              <w:keepLines w:val="0"/>
              <w:pageBreakBefore w:val="0"/>
              <w:widowControl w:val="0"/>
              <w:kinsoku/>
              <w:overflowPunct/>
              <w:topLinePunct w:val="0"/>
              <w:autoSpaceDE/>
              <w:autoSpaceDN/>
              <w:bidi w:val="0"/>
              <w:adjustRightInd/>
              <w:snapToGrid/>
              <w:spacing w:before="31" w:beforeLines="10" w:after="31" w:afterLines="10" w:line="580" w:lineRule="exact"/>
              <w:ind w:left="0" w:leftChars="0"/>
              <w:rPr>
                <w:rFonts w:hint="eastAsia" w:ascii="Times New Roman" w:hAnsi="Times New Roman"/>
                <w:b/>
                <w:color w:val="000000"/>
                <w:sz w:val="24"/>
                <w:szCs w:val="24"/>
                <w:highlight w:val="none"/>
              </w:rPr>
            </w:pPr>
          </w:p>
          <w:p w14:paraId="421BB4B3">
            <w:pPr>
              <w:keepNext w:val="0"/>
              <w:keepLines w:val="0"/>
              <w:pageBreakBefore w:val="0"/>
              <w:widowControl w:val="0"/>
              <w:kinsoku/>
              <w:overflowPunct/>
              <w:topLinePunct w:val="0"/>
              <w:autoSpaceDE/>
              <w:autoSpaceDN/>
              <w:bidi w:val="0"/>
              <w:adjustRightInd/>
              <w:snapToGrid/>
              <w:spacing w:before="31" w:beforeLines="10" w:after="31" w:afterLines="10" w:line="580" w:lineRule="exact"/>
              <w:ind w:left="0" w:leftChars="0"/>
              <w:rPr>
                <w:rFonts w:hint="eastAsia" w:ascii="Times New Roman" w:hAnsi="Times New Roman"/>
                <w:b/>
                <w:color w:val="000000"/>
                <w:sz w:val="24"/>
                <w:szCs w:val="24"/>
                <w:highlight w:val="none"/>
              </w:rPr>
            </w:pPr>
          </w:p>
          <w:p w14:paraId="29D76FCC">
            <w:pPr>
              <w:keepNext w:val="0"/>
              <w:keepLines w:val="0"/>
              <w:pageBreakBefore w:val="0"/>
              <w:widowControl w:val="0"/>
              <w:kinsoku/>
              <w:overflowPunct/>
              <w:topLinePunct w:val="0"/>
              <w:autoSpaceDE/>
              <w:autoSpaceDN/>
              <w:bidi w:val="0"/>
              <w:adjustRightInd/>
              <w:snapToGrid/>
              <w:spacing w:before="31" w:beforeLines="10" w:after="31" w:afterLines="10" w:line="580" w:lineRule="exact"/>
              <w:ind w:left="0" w:leftChars="0"/>
              <w:rPr>
                <w:rFonts w:hint="eastAsia" w:ascii="Times New Roman" w:hAnsi="Times New Roman"/>
                <w:b/>
                <w:color w:val="000000"/>
                <w:sz w:val="24"/>
                <w:szCs w:val="24"/>
                <w:highlight w:val="none"/>
              </w:rPr>
            </w:pPr>
          </w:p>
          <w:p w14:paraId="108B045D">
            <w:pPr>
              <w:keepNext w:val="0"/>
              <w:keepLines w:val="0"/>
              <w:pageBreakBefore w:val="0"/>
              <w:widowControl w:val="0"/>
              <w:kinsoku/>
              <w:overflowPunct/>
              <w:topLinePunct w:val="0"/>
              <w:autoSpaceDE/>
              <w:autoSpaceDN/>
              <w:bidi w:val="0"/>
              <w:adjustRightInd/>
              <w:snapToGrid/>
              <w:spacing w:before="31" w:beforeLines="10" w:after="31" w:afterLines="10" w:line="580" w:lineRule="exact"/>
              <w:ind w:left="0" w:leftChars="0"/>
              <w:rPr>
                <w:rFonts w:hint="eastAsia" w:ascii="Times New Roman" w:hAnsi="Times New Roman"/>
                <w:b/>
                <w:color w:val="000000"/>
                <w:sz w:val="24"/>
                <w:szCs w:val="24"/>
                <w:highlight w:val="none"/>
              </w:rPr>
            </w:pPr>
          </w:p>
          <w:p w14:paraId="0FB175D8">
            <w:pPr>
              <w:keepNext w:val="0"/>
              <w:keepLines w:val="0"/>
              <w:pageBreakBefore w:val="0"/>
              <w:widowControl w:val="0"/>
              <w:kinsoku/>
              <w:overflowPunct/>
              <w:topLinePunct w:val="0"/>
              <w:autoSpaceDE/>
              <w:autoSpaceDN/>
              <w:bidi w:val="0"/>
              <w:adjustRightInd/>
              <w:snapToGrid/>
              <w:spacing w:before="31" w:beforeLines="10" w:after="31" w:afterLines="10" w:line="580" w:lineRule="exact"/>
              <w:ind w:left="0" w:leftChars="0"/>
              <w:rPr>
                <w:rFonts w:hint="eastAsia" w:ascii="Times New Roman" w:hAnsi="Times New Roman"/>
                <w:b/>
                <w:color w:val="000000"/>
                <w:sz w:val="24"/>
                <w:szCs w:val="24"/>
                <w:highlight w:val="none"/>
              </w:rPr>
            </w:pPr>
          </w:p>
          <w:p w14:paraId="15368893">
            <w:pPr>
              <w:keepNext w:val="0"/>
              <w:keepLines w:val="0"/>
              <w:pageBreakBefore w:val="0"/>
              <w:widowControl w:val="0"/>
              <w:kinsoku/>
              <w:overflowPunct/>
              <w:topLinePunct w:val="0"/>
              <w:autoSpaceDE/>
              <w:autoSpaceDN/>
              <w:bidi w:val="0"/>
              <w:adjustRightInd/>
              <w:snapToGrid/>
              <w:spacing w:before="31" w:beforeLines="10" w:after="31" w:afterLines="10" w:line="580" w:lineRule="exact"/>
              <w:ind w:left="0" w:leftChars="0"/>
              <w:rPr>
                <w:rFonts w:hint="eastAsia" w:ascii="Times New Roman" w:hAnsi="Times New Roman"/>
                <w:b/>
                <w:color w:val="000000"/>
                <w:sz w:val="24"/>
                <w:szCs w:val="24"/>
                <w:highlight w:val="none"/>
              </w:rPr>
            </w:pPr>
          </w:p>
          <w:p w14:paraId="70369CF6">
            <w:pPr>
              <w:keepNext w:val="0"/>
              <w:keepLines w:val="0"/>
              <w:pageBreakBefore w:val="0"/>
              <w:widowControl w:val="0"/>
              <w:kinsoku/>
              <w:overflowPunct/>
              <w:topLinePunct w:val="0"/>
              <w:autoSpaceDE/>
              <w:autoSpaceDN/>
              <w:bidi w:val="0"/>
              <w:adjustRightInd/>
              <w:snapToGrid/>
              <w:spacing w:before="31" w:beforeLines="10" w:after="31" w:afterLines="10" w:line="580" w:lineRule="exact"/>
              <w:ind w:left="0" w:leftChars="0"/>
              <w:rPr>
                <w:rFonts w:hint="eastAsia" w:ascii="Times New Roman" w:hAnsi="Times New Roman"/>
                <w:b/>
                <w:color w:val="000000"/>
                <w:sz w:val="24"/>
                <w:szCs w:val="24"/>
                <w:highlight w:val="none"/>
              </w:rPr>
            </w:pPr>
          </w:p>
          <w:p w14:paraId="54312DE4">
            <w:pPr>
              <w:keepNext w:val="0"/>
              <w:keepLines w:val="0"/>
              <w:pageBreakBefore w:val="0"/>
              <w:widowControl w:val="0"/>
              <w:kinsoku/>
              <w:overflowPunct/>
              <w:topLinePunct w:val="0"/>
              <w:autoSpaceDE/>
              <w:autoSpaceDN/>
              <w:bidi w:val="0"/>
              <w:adjustRightInd/>
              <w:snapToGrid/>
              <w:spacing w:before="31" w:beforeLines="10" w:after="31" w:afterLines="10" w:line="580" w:lineRule="exact"/>
              <w:ind w:left="0" w:leftChars="0"/>
              <w:rPr>
                <w:rFonts w:hint="eastAsia" w:ascii="Times New Roman" w:hAnsi="Times New Roman"/>
                <w:b/>
                <w:color w:val="000000"/>
                <w:sz w:val="24"/>
                <w:szCs w:val="24"/>
                <w:highlight w:val="none"/>
              </w:rPr>
            </w:pPr>
            <w:r>
              <w:rPr>
                <w:rFonts w:hint="eastAsia" w:ascii="Times New Roman" w:hAnsi="Times New Roman"/>
                <w:b/>
                <w:color w:val="000000"/>
                <w:sz w:val="24"/>
                <w:szCs w:val="24"/>
                <w:highlight w:val="none"/>
              </w:rPr>
              <w:t xml:space="preserve">                                     验收工作组长签字</w:t>
            </w:r>
            <w:r>
              <w:rPr>
                <w:rFonts w:hint="eastAsia" w:ascii="Times New Roman" w:hAnsi="Times New Roman"/>
                <w:b/>
                <w:color w:val="000000"/>
                <w:sz w:val="24"/>
                <w:szCs w:val="24"/>
                <w:highlight w:val="none"/>
                <w:u w:val="single"/>
              </w:rPr>
              <w:t xml:space="preserve">          </w:t>
            </w:r>
          </w:p>
          <w:p w14:paraId="5914FD24">
            <w:pPr>
              <w:keepNext w:val="0"/>
              <w:keepLines w:val="0"/>
              <w:pageBreakBefore w:val="0"/>
              <w:widowControl w:val="0"/>
              <w:kinsoku/>
              <w:overflowPunct/>
              <w:topLinePunct w:val="0"/>
              <w:autoSpaceDE/>
              <w:autoSpaceDN/>
              <w:bidi w:val="0"/>
              <w:adjustRightInd/>
              <w:snapToGrid/>
              <w:spacing w:before="31" w:beforeLines="10" w:after="31" w:afterLines="10" w:line="580" w:lineRule="exact"/>
              <w:ind w:left="0" w:leftChars="0"/>
              <w:rPr>
                <w:rFonts w:hint="eastAsia" w:ascii="Times New Roman" w:hAnsi="Times New Roman"/>
                <w:b/>
                <w:color w:val="000000"/>
                <w:sz w:val="24"/>
                <w:szCs w:val="24"/>
                <w:highlight w:val="none"/>
              </w:rPr>
            </w:pPr>
          </w:p>
          <w:p w14:paraId="01782D80">
            <w:pPr>
              <w:keepNext w:val="0"/>
              <w:keepLines w:val="0"/>
              <w:pageBreakBefore w:val="0"/>
              <w:widowControl w:val="0"/>
              <w:kinsoku/>
              <w:overflowPunct/>
              <w:topLinePunct w:val="0"/>
              <w:autoSpaceDE/>
              <w:autoSpaceDN/>
              <w:bidi w:val="0"/>
              <w:adjustRightInd/>
              <w:snapToGrid/>
              <w:spacing w:before="31" w:beforeLines="10" w:after="31" w:afterLines="10" w:line="580" w:lineRule="exact"/>
              <w:ind w:left="0" w:leftChars="0" w:firstLine="6264" w:firstLineChars="2600"/>
              <w:rPr>
                <w:rFonts w:hint="eastAsia" w:ascii="Times New Roman" w:hAnsi="Times New Roman"/>
                <w:b/>
                <w:color w:val="000000"/>
                <w:sz w:val="24"/>
                <w:szCs w:val="24"/>
                <w:highlight w:val="none"/>
              </w:rPr>
            </w:pPr>
            <w:r>
              <w:rPr>
                <w:rFonts w:hint="eastAsia" w:ascii="Times New Roman" w:hAnsi="Times New Roman"/>
                <w:b/>
                <w:color w:val="000000"/>
                <w:sz w:val="24"/>
                <w:szCs w:val="24"/>
                <w:highlight w:val="none"/>
              </w:rPr>
              <w:t>年    月    日</w:t>
            </w:r>
          </w:p>
          <w:p w14:paraId="43858A4E">
            <w:pPr>
              <w:keepNext w:val="0"/>
              <w:keepLines w:val="0"/>
              <w:pageBreakBefore w:val="0"/>
              <w:widowControl w:val="0"/>
              <w:kinsoku/>
              <w:overflowPunct/>
              <w:topLinePunct w:val="0"/>
              <w:autoSpaceDE/>
              <w:autoSpaceDN/>
              <w:bidi w:val="0"/>
              <w:adjustRightInd/>
              <w:snapToGrid/>
              <w:spacing w:before="31" w:beforeLines="10" w:after="31" w:afterLines="10" w:line="580" w:lineRule="exact"/>
              <w:ind w:left="0" w:leftChars="0" w:firstLine="6264" w:firstLineChars="2600"/>
              <w:rPr>
                <w:rFonts w:hint="eastAsia" w:ascii="Times New Roman" w:hAnsi="Times New Roman"/>
                <w:b/>
                <w:color w:val="000000"/>
                <w:sz w:val="24"/>
                <w:szCs w:val="24"/>
                <w:highlight w:val="none"/>
              </w:rPr>
            </w:pPr>
          </w:p>
          <w:p w14:paraId="7A3C3723">
            <w:pPr>
              <w:keepNext w:val="0"/>
              <w:keepLines w:val="0"/>
              <w:pageBreakBefore w:val="0"/>
              <w:widowControl w:val="0"/>
              <w:kinsoku/>
              <w:overflowPunct/>
              <w:topLinePunct w:val="0"/>
              <w:autoSpaceDE/>
              <w:autoSpaceDN/>
              <w:bidi w:val="0"/>
              <w:adjustRightInd/>
              <w:snapToGrid/>
              <w:spacing w:before="31" w:beforeLines="10" w:after="31" w:afterLines="10" w:line="580" w:lineRule="exact"/>
              <w:ind w:left="0" w:leftChars="0" w:firstLine="6264" w:firstLineChars="2600"/>
              <w:rPr>
                <w:rFonts w:hint="eastAsia" w:ascii="Times New Roman" w:hAnsi="Times New Roman"/>
                <w:b/>
                <w:color w:val="000000"/>
                <w:sz w:val="24"/>
                <w:szCs w:val="24"/>
                <w:highlight w:val="none"/>
              </w:rPr>
            </w:pPr>
          </w:p>
        </w:tc>
      </w:tr>
    </w:tbl>
    <w:p w14:paraId="0A36F8C7">
      <w:pPr>
        <w:keepNext w:val="0"/>
        <w:keepLines w:val="0"/>
        <w:pageBreakBefore w:val="0"/>
        <w:widowControl w:val="0"/>
        <w:kinsoku/>
        <w:overflowPunct/>
        <w:topLinePunct w:val="0"/>
        <w:autoSpaceDE/>
        <w:autoSpaceDN/>
        <w:bidi w:val="0"/>
        <w:adjustRightInd/>
        <w:snapToGrid/>
        <w:spacing w:line="580" w:lineRule="exact"/>
        <w:ind w:left="0" w:leftChars="0"/>
        <w:rPr>
          <w:rFonts w:hint="eastAsia" w:ascii="Times New Roman" w:hAnsi="Times New Roman" w:eastAsia="仿宋"/>
          <w:color w:val="000000"/>
          <w:sz w:val="32"/>
          <w:szCs w:val="32"/>
          <w:highlight w:val="none"/>
        </w:rPr>
        <w:sectPr>
          <w:pgSz w:w="11906" w:h="16838"/>
          <w:pgMar w:top="1587" w:right="1474" w:bottom="1474" w:left="1474" w:header="851" w:footer="1304" w:gutter="0"/>
          <w:pgNumType w:fmt="decimal"/>
          <w:cols w:space="0" w:num="1"/>
          <w:rtlGutter w:val="0"/>
          <w:docGrid w:type="lines" w:linePitch="312" w:charSpace="0"/>
        </w:sectPr>
      </w:pPr>
    </w:p>
    <w:p w14:paraId="6F69A87E">
      <w:pPr>
        <w:keepNext w:val="0"/>
        <w:keepLines w:val="0"/>
        <w:pageBreakBefore w:val="0"/>
        <w:widowControl w:val="0"/>
        <w:kinsoku/>
        <w:overflowPunct/>
        <w:topLinePunct w:val="0"/>
        <w:autoSpaceDE/>
        <w:autoSpaceDN/>
        <w:bidi w:val="0"/>
        <w:adjustRightInd/>
        <w:snapToGrid/>
        <w:spacing w:line="556" w:lineRule="exact"/>
        <w:ind w:left="0" w:leftChars="0"/>
        <w:rPr>
          <w:rFonts w:hint="eastAsia" w:ascii="Times New Roman" w:hAnsi="Times New Roman" w:eastAsia="仿宋" w:cs="仿宋"/>
          <w:color w:val="000000"/>
          <w:sz w:val="32"/>
          <w:szCs w:val="32"/>
          <w:highlight w:val="none"/>
        </w:rPr>
      </w:pPr>
      <w:r>
        <w:rPr>
          <w:rFonts w:hint="eastAsia" w:ascii="Times New Roman" w:hAnsi="Times New Roman" w:eastAsia="黑体" w:cs="黑体"/>
          <w:bCs/>
          <w:color w:val="000000"/>
          <w:sz w:val="32"/>
          <w:szCs w:val="32"/>
          <w:highlight w:val="none"/>
        </w:rPr>
        <w:t>附件</w:t>
      </w:r>
      <w:r>
        <w:rPr>
          <w:rFonts w:hint="eastAsia" w:ascii="Times New Roman" w:hAnsi="Times New Roman" w:eastAsia="黑体" w:cs="黑体"/>
          <w:bCs/>
          <w:color w:val="000000"/>
          <w:sz w:val="32"/>
          <w:szCs w:val="32"/>
          <w:highlight w:val="none"/>
          <w:lang w:val="en-US" w:eastAsia="zh-CN"/>
        </w:rPr>
        <w:t>4-</w:t>
      </w:r>
      <w:r>
        <w:rPr>
          <w:rFonts w:hint="eastAsia" w:ascii="Times New Roman" w:hAnsi="Times New Roman" w:eastAsia="黑体" w:cs="黑体"/>
          <w:bCs/>
          <w:color w:val="000000"/>
          <w:sz w:val="32"/>
          <w:szCs w:val="32"/>
          <w:highlight w:val="none"/>
        </w:rPr>
        <w:t>2</w:t>
      </w:r>
      <w:r>
        <w:rPr>
          <w:rFonts w:hint="eastAsia" w:ascii="Times New Roman" w:hAnsi="Times New Roman" w:eastAsia="黑体" w:cs="黑体"/>
          <w:color w:val="000000"/>
          <w:sz w:val="32"/>
          <w:szCs w:val="32"/>
          <w:highlight w:val="none"/>
        </w:rPr>
        <w:t xml:space="preserve">  </w:t>
      </w:r>
    </w:p>
    <w:p w14:paraId="643CA73D">
      <w:pPr>
        <w:keepNext w:val="0"/>
        <w:keepLines w:val="0"/>
        <w:pageBreakBefore w:val="0"/>
        <w:widowControl w:val="0"/>
        <w:kinsoku/>
        <w:overflowPunct/>
        <w:topLinePunct w:val="0"/>
        <w:autoSpaceDE/>
        <w:autoSpaceDN/>
        <w:bidi w:val="0"/>
        <w:adjustRightInd/>
        <w:snapToGrid/>
        <w:spacing w:line="556" w:lineRule="exact"/>
        <w:ind w:left="0" w:leftChars="0"/>
        <w:rPr>
          <w:rFonts w:ascii="Times New Roman" w:hAnsi="Times New Roman" w:eastAsia="仿宋"/>
          <w:color w:val="000000"/>
          <w:sz w:val="32"/>
          <w:szCs w:val="32"/>
          <w:highlight w:val="none"/>
        </w:rPr>
      </w:pPr>
      <w:r>
        <w:rPr>
          <w:rFonts w:ascii="Times New Roman" w:hAnsi="Times New Roman" w:eastAsia="仿宋"/>
          <w:color w:val="000000"/>
          <w:sz w:val="32"/>
          <w:szCs w:val="32"/>
          <w:highlight w:val="none"/>
        </w:rPr>
        <w:t xml:space="preserve">          </w:t>
      </w:r>
    </w:p>
    <w:p w14:paraId="3433C289">
      <w:pPr>
        <w:keepNext w:val="0"/>
        <w:keepLines w:val="0"/>
        <w:pageBreakBefore w:val="0"/>
        <w:widowControl w:val="0"/>
        <w:kinsoku/>
        <w:overflowPunct/>
        <w:topLinePunct w:val="0"/>
        <w:autoSpaceDE/>
        <w:autoSpaceDN/>
        <w:bidi w:val="0"/>
        <w:adjustRightInd/>
        <w:snapToGrid/>
        <w:spacing w:line="556" w:lineRule="exact"/>
        <w:ind w:left="0" w:leftChars="0"/>
        <w:jc w:val="center"/>
        <w:rPr>
          <w:rFonts w:hint="eastAsia" w:ascii="Times New Roman" w:hAnsi="Times New Roman" w:eastAsia="方正小标宋简体" w:cs="方正小标宋简体"/>
          <w:b w:val="0"/>
          <w:bCs w:val="0"/>
          <w:color w:val="000000"/>
          <w:sz w:val="44"/>
          <w:szCs w:val="44"/>
          <w:highlight w:val="none"/>
        </w:rPr>
      </w:pPr>
      <w:r>
        <w:rPr>
          <w:rFonts w:hint="eastAsia" w:ascii="Times New Roman" w:hAnsi="Times New Roman" w:eastAsia="方正小标宋简体" w:cs="方正小标宋简体"/>
          <w:b w:val="0"/>
          <w:bCs w:val="0"/>
          <w:color w:val="000000"/>
          <w:sz w:val="44"/>
          <w:szCs w:val="44"/>
          <w:highlight w:val="none"/>
        </w:rPr>
        <w:t>危险化学品建设项目安全设施</w:t>
      </w:r>
    </w:p>
    <w:p w14:paraId="4748C091">
      <w:pPr>
        <w:keepNext w:val="0"/>
        <w:keepLines w:val="0"/>
        <w:pageBreakBefore w:val="0"/>
        <w:widowControl w:val="0"/>
        <w:kinsoku/>
        <w:overflowPunct/>
        <w:topLinePunct w:val="0"/>
        <w:autoSpaceDE/>
        <w:autoSpaceDN/>
        <w:bidi w:val="0"/>
        <w:adjustRightInd/>
        <w:snapToGrid/>
        <w:spacing w:line="556" w:lineRule="exact"/>
        <w:ind w:left="0" w:leftChars="0"/>
        <w:jc w:val="center"/>
        <w:rPr>
          <w:rFonts w:hint="eastAsia" w:ascii="Times New Roman" w:hAnsi="Times New Roman" w:eastAsia="方正小标宋简体" w:cs="方正小标宋简体"/>
          <w:b w:val="0"/>
          <w:bCs w:val="0"/>
          <w:color w:val="000000"/>
          <w:sz w:val="44"/>
          <w:szCs w:val="44"/>
          <w:highlight w:val="none"/>
        </w:rPr>
      </w:pPr>
      <w:r>
        <w:rPr>
          <w:rFonts w:hint="eastAsia" w:ascii="Times New Roman" w:hAnsi="Times New Roman" w:eastAsia="方正小标宋简体" w:cs="方正小标宋简体"/>
          <w:b w:val="0"/>
          <w:bCs w:val="0"/>
          <w:color w:val="000000"/>
          <w:sz w:val="44"/>
          <w:szCs w:val="44"/>
          <w:highlight w:val="none"/>
        </w:rPr>
        <w:t>竣工验收</w:t>
      </w:r>
      <w:r>
        <w:rPr>
          <w:rFonts w:hint="eastAsia" w:ascii="Times New Roman" w:hAnsi="Times New Roman" w:eastAsia="方正小标宋简体" w:cs="方正小标宋简体"/>
          <w:b w:val="0"/>
          <w:bCs w:val="0"/>
          <w:color w:val="000000"/>
          <w:sz w:val="44"/>
          <w:szCs w:val="44"/>
          <w:highlight w:val="none"/>
          <w:lang w:eastAsia="zh-CN"/>
        </w:rPr>
        <w:t>归档</w:t>
      </w:r>
      <w:r>
        <w:rPr>
          <w:rFonts w:hint="eastAsia" w:ascii="Times New Roman" w:hAnsi="Times New Roman" w:eastAsia="方正小标宋简体" w:cs="方正小标宋简体"/>
          <w:b w:val="0"/>
          <w:bCs w:val="0"/>
          <w:color w:val="000000"/>
          <w:sz w:val="44"/>
          <w:szCs w:val="44"/>
          <w:highlight w:val="none"/>
        </w:rPr>
        <w:t>资料清单</w:t>
      </w:r>
    </w:p>
    <w:p w14:paraId="31761F76">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jc w:val="both"/>
        <w:textAlignment w:val="auto"/>
        <w:outlineLvl w:val="9"/>
        <w:rPr>
          <w:rFonts w:hint="eastAsia" w:ascii="Times New Roman" w:hAnsi="Times New Roman" w:eastAsia="仿宋" w:cs="仿宋"/>
          <w:color w:val="000000"/>
          <w:sz w:val="32"/>
          <w:szCs w:val="32"/>
          <w:highlight w:val="none"/>
        </w:rPr>
      </w:pPr>
      <w:r>
        <w:rPr>
          <w:rFonts w:ascii="Times New Roman" w:hAnsi="Times New Roman" w:eastAsia="仿宋"/>
          <w:color w:val="000000"/>
          <w:sz w:val="32"/>
          <w:szCs w:val="32"/>
          <w:highlight w:val="none"/>
        </w:rPr>
        <w:t xml:space="preserve">    </w:t>
      </w:r>
    </w:p>
    <w:p w14:paraId="4BB2620C">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b w:val="0"/>
          <w:bCs w:val="0"/>
          <w:color w:val="000000"/>
          <w:sz w:val="32"/>
          <w:szCs w:val="32"/>
          <w:highlight w:val="none"/>
        </w:rPr>
        <w:t xml:space="preserve">  </w:t>
      </w:r>
      <w:r>
        <w:rPr>
          <w:rFonts w:hint="eastAsia" w:ascii="Times New Roman" w:hAnsi="Times New Roman" w:eastAsia="黑体" w:cs="黑体"/>
          <w:b w:val="0"/>
          <w:bCs w:val="0"/>
          <w:color w:val="000000"/>
          <w:sz w:val="32"/>
          <w:szCs w:val="32"/>
          <w:highlight w:val="none"/>
        </w:rPr>
        <w:t xml:space="preserve">  一、相关文书与报告资料</w:t>
      </w:r>
    </w:p>
    <w:p w14:paraId="0FC030AE">
      <w:pPr>
        <w:keepNext w:val="0"/>
        <w:keepLines w:val="0"/>
        <w:pageBreakBefore w:val="0"/>
        <w:widowControl w:val="0"/>
        <w:numPr>
          <w:ilvl w:val="0"/>
          <w:numId w:val="3"/>
        </w:numPr>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经</w:t>
      </w:r>
      <w:r>
        <w:rPr>
          <w:rFonts w:hint="eastAsia" w:ascii="Times New Roman" w:hAnsi="Times New Roman" w:eastAsia="仿宋" w:cs="仿宋"/>
          <w:color w:val="000000"/>
          <w:sz w:val="32"/>
          <w:szCs w:val="32"/>
          <w:highlight w:val="none"/>
          <w:lang w:val="en-US" w:eastAsia="zh-CN"/>
        </w:rPr>
        <w:t>应急管理</w:t>
      </w:r>
      <w:r>
        <w:rPr>
          <w:rFonts w:hint="eastAsia" w:ascii="Times New Roman" w:hAnsi="Times New Roman" w:eastAsia="仿宋" w:cs="仿宋"/>
          <w:color w:val="000000"/>
          <w:sz w:val="32"/>
          <w:szCs w:val="32"/>
          <w:highlight w:val="none"/>
        </w:rPr>
        <w:t>部门审查同意的建设项目安全设施设计专篇和建设项目安全设施设计审查意见书及建设项目试生产（使用）方案备案回执；</w:t>
      </w:r>
    </w:p>
    <w:p w14:paraId="6E7ADAFA">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 xml:space="preserve">    2.试生产（使用）期间是否发生事故、采取的防范措施以及整改情况报告；</w:t>
      </w:r>
    </w:p>
    <w:p w14:paraId="025BA4BC">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3.建设项目安全设施施工、监理情况报告（按照规定不要求监理的除外）；</w:t>
      </w:r>
    </w:p>
    <w:p w14:paraId="3A4FC2FC">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4.建设项目安全验收评价报告；</w:t>
      </w:r>
    </w:p>
    <w:p w14:paraId="38067919">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lang w:val="en-US" w:eastAsia="zh-CN"/>
        </w:rPr>
        <w:t>5.</w:t>
      </w:r>
      <w:r>
        <w:rPr>
          <w:rFonts w:hint="eastAsia" w:ascii="Times New Roman" w:hAnsi="Times New Roman" w:eastAsia="仿宋" w:cs="仿宋"/>
          <w:color w:val="000000"/>
          <w:sz w:val="32"/>
          <w:szCs w:val="32"/>
          <w:highlight w:val="none"/>
        </w:rPr>
        <w:t>设计单位对建设项目落实建设项目安全设施设计专篇要求或设计变更的书面确认材料；</w:t>
      </w:r>
    </w:p>
    <w:p w14:paraId="541A2080">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shd w:val="clear" w:color="auto" w:fill="FFFFFF"/>
          <w:lang w:val="en-US" w:eastAsia="zh-CN"/>
        </w:rPr>
        <w:t>6</w:t>
      </w:r>
      <w:r>
        <w:rPr>
          <w:rFonts w:hint="eastAsia" w:ascii="Times New Roman" w:hAnsi="Times New Roman" w:eastAsia="仿宋" w:cs="仿宋"/>
          <w:color w:val="000000"/>
          <w:sz w:val="32"/>
          <w:szCs w:val="32"/>
          <w:highlight w:val="none"/>
          <w:shd w:val="clear" w:color="auto" w:fill="FFFFFF"/>
        </w:rPr>
        <w:t>.危险化学品建设项目安全设施</w:t>
      </w:r>
      <w:r>
        <w:rPr>
          <w:rFonts w:hint="eastAsia" w:ascii="Times New Roman" w:hAnsi="Times New Roman" w:eastAsia="仿宋" w:cs="仿宋"/>
          <w:color w:val="000000"/>
          <w:sz w:val="32"/>
          <w:szCs w:val="32"/>
          <w:highlight w:val="none"/>
        </w:rPr>
        <w:t>验收表；</w:t>
      </w:r>
    </w:p>
    <w:p w14:paraId="55A3B451">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lang w:val="en-US" w:eastAsia="zh-CN"/>
        </w:rPr>
        <w:t>7</w:t>
      </w:r>
      <w:r>
        <w:rPr>
          <w:rFonts w:hint="eastAsia" w:ascii="Times New Roman" w:hAnsi="Times New Roman" w:eastAsia="仿宋" w:cs="仿宋"/>
          <w:color w:val="000000"/>
          <w:sz w:val="32"/>
          <w:szCs w:val="32"/>
          <w:highlight w:val="none"/>
        </w:rPr>
        <w:t>.《危险化学品建设项目安全设施验收审查要点》审核意见。</w:t>
      </w:r>
    </w:p>
    <w:p w14:paraId="37FDB7F7">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黑体" w:cs="黑体"/>
          <w:b w:val="0"/>
          <w:bCs w:val="0"/>
          <w:color w:val="000000"/>
          <w:sz w:val="32"/>
          <w:szCs w:val="32"/>
          <w:highlight w:val="none"/>
        </w:rPr>
        <w:t xml:space="preserve">    二、安全管理制度清单</w:t>
      </w:r>
    </w:p>
    <w:p w14:paraId="0A8C2FE8">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1.</w:t>
      </w:r>
      <w:r>
        <w:rPr>
          <w:rFonts w:hint="eastAsia" w:ascii="Times New Roman" w:hAnsi="Times New Roman" w:eastAsia="仿宋" w:cs="仿宋"/>
          <w:color w:val="000000"/>
          <w:sz w:val="32"/>
          <w:szCs w:val="32"/>
          <w:highlight w:val="none"/>
          <w:lang w:eastAsia="zh-CN"/>
        </w:rPr>
        <w:t>安全生产责任制文件，安全生产规章制度清单、岗位操作安全规程清单</w:t>
      </w:r>
      <w:r>
        <w:rPr>
          <w:rFonts w:hint="eastAsia" w:ascii="Times New Roman" w:hAnsi="Times New Roman" w:eastAsia="仿宋" w:cs="仿宋"/>
          <w:color w:val="000000"/>
          <w:sz w:val="32"/>
          <w:szCs w:val="32"/>
          <w:highlight w:val="none"/>
        </w:rPr>
        <w:t>；</w:t>
      </w:r>
    </w:p>
    <w:p w14:paraId="26BD860C">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2.</w:t>
      </w:r>
      <w:r>
        <w:rPr>
          <w:rFonts w:hint="eastAsia" w:ascii="Times New Roman" w:hAnsi="Times New Roman" w:eastAsia="仿宋" w:cs="仿宋"/>
          <w:color w:val="000000"/>
          <w:sz w:val="32"/>
          <w:szCs w:val="32"/>
          <w:highlight w:val="none"/>
          <w:lang w:eastAsia="zh-CN"/>
        </w:rPr>
        <w:t>设置安全生产管理机构和配备专职安全生产管理人员的文件。</w:t>
      </w:r>
    </w:p>
    <w:p w14:paraId="1C476ABC">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黑体" w:cs="黑体"/>
          <w:b w:val="0"/>
          <w:bCs w:val="0"/>
          <w:color w:val="000000"/>
          <w:sz w:val="32"/>
          <w:szCs w:val="32"/>
          <w:highlight w:val="none"/>
        </w:rPr>
        <w:t>三、相关单位及人员资质证书（复制件）</w:t>
      </w:r>
    </w:p>
    <w:p w14:paraId="1AD10E01">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1.主要负责人</w:t>
      </w:r>
      <w:r>
        <w:rPr>
          <w:rFonts w:hint="eastAsia" w:ascii="Times New Roman" w:hAnsi="Times New Roman" w:eastAsia="仿宋" w:cs="仿宋"/>
          <w:color w:val="000000"/>
          <w:sz w:val="32"/>
          <w:szCs w:val="32"/>
          <w:highlight w:val="none"/>
          <w:lang w:val="en-US" w:eastAsia="zh-CN"/>
        </w:rPr>
        <w:t>、</w:t>
      </w:r>
      <w:r>
        <w:rPr>
          <w:rFonts w:hint="eastAsia" w:ascii="Times New Roman" w:hAnsi="Times New Roman" w:eastAsia="仿宋" w:cs="仿宋"/>
          <w:color w:val="000000"/>
          <w:sz w:val="32"/>
          <w:szCs w:val="32"/>
          <w:highlight w:val="none"/>
        </w:rPr>
        <w:t>安全生产管理人员</w:t>
      </w:r>
      <w:r>
        <w:rPr>
          <w:rFonts w:hint="eastAsia" w:ascii="Times New Roman" w:hAnsi="Times New Roman" w:eastAsia="仿宋" w:cs="仿宋"/>
          <w:color w:val="000000"/>
          <w:sz w:val="32"/>
          <w:szCs w:val="32"/>
          <w:highlight w:val="none"/>
          <w:lang w:eastAsia="zh-CN"/>
        </w:rPr>
        <w:t>、注册安全工程师资格证书</w:t>
      </w:r>
      <w:r>
        <w:rPr>
          <w:rFonts w:hint="eastAsia" w:ascii="Times New Roman" w:hAnsi="Times New Roman" w:eastAsia="仿宋" w:cs="仿宋"/>
          <w:color w:val="000000"/>
          <w:sz w:val="32"/>
          <w:szCs w:val="32"/>
          <w:highlight w:val="none"/>
        </w:rPr>
        <w:t>；</w:t>
      </w:r>
    </w:p>
    <w:p w14:paraId="6D39250C">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2.</w:t>
      </w:r>
      <w:r>
        <w:rPr>
          <w:rFonts w:hint="eastAsia" w:ascii="Times New Roman" w:hAnsi="Times New Roman" w:eastAsia="仿宋" w:cs="仿宋"/>
          <w:color w:val="000000"/>
          <w:sz w:val="32"/>
          <w:szCs w:val="32"/>
          <w:highlight w:val="none"/>
          <w:lang w:val="en-US" w:eastAsia="zh-CN"/>
        </w:rPr>
        <w:t>特种作业人员（电工、焊工、危险化学品安全作业等）资质证书</w:t>
      </w:r>
      <w:r>
        <w:rPr>
          <w:rFonts w:hint="eastAsia" w:ascii="Times New Roman" w:hAnsi="Times New Roman" w:eastAsia="仿宋" w:cs="仿宋"/>
          <w:color w:val="000000"/>
          <w:sz w:val="32"/>
          <w:szCs w:val="32"/>
          <w:highlight w:val="none"/>
        </w:rPr>
        <w:t>；</w:t>
      </w:r>
    </w:p>
    <w:p w14:paraId="72A62D85">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3.特种设备管理和操作人员资质证书；</w:t>
      </w:r>
    </w:p>
    <w:p w14:paraId="1F4051D1">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lang w:val="en-US" w:eastAsia="zh-CN"/>
        </w:rPr>
      </w:pPr>
      <w:r>
        <w:rPr>
          <w:rFonts w:hint="eastAsia" w:ascii="Times New Roman" w:hAnsi="Times New Roman" w:eastAsia="仿宋" w:cs="仿宋"/>
          <w:color w:val="000000"/>
          <w:sz w:val="32"/>
          <w:szCs w:val="32"/>
          <w:highlight w:val="none"/>
          <w:lang w:val="en-US" w:eastAsia="zh-CN"/>
        </w:rPr>
        <w:t>4.从业人员安全教育、培训合格的证明材料；</w:t>
      </w:r>
    </w:p>
    <w:p w14:paraId="27F50C85">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lang w:val="en-US" w:eastAsia="zh-CN"/>
        </w:rPr>
        <w:t>5</w:t>
      </w:r>
      <w:r>
        <w:rPr>
          <w:rFonts w:hint="eastAsia" w:ascii="Times New Roman" w:hAnsi="Times New Roman" w:eastAsia="仿宋" w:cs="仿宋"/>
          <w:color w:val="000000"/>
          <w:sz w:val="32"/>
          <w:szCs w:val="32"/>
          <w:highlight w:val="none"/>
        </w:rPr>
        <w:t>.</w:t>
      </w:r>
      <w:r>
        <w:rPr>
          <w:rFonts w:hint="eastAsia" w:ascii="Times New Roman" w:hAnsi="Times New Roman" w:eastAsia="仿宋" w:cs="仿宋"/>
          <w:color w:val="000000"/>
          <w:sz w:val="32"/>
          <w:szCs w:val="32"/>
          <w:highlight w:val="none"/>
          <w:lang w:eastAsia="zh-CN"/>
        </w:rPr>
        <w:t>为从业人员缴纳工伤保险费的证明材料</w:t>
      </w:r>
      <w:r>
        <w:rPr>
          <w:rFonts w:hint="eastAsia" w:ascii="Times New Roman" w:hAnsi="Times New Roman" w:eastAsia="仿宋" w:cs="仿宋"/>
          <w:color w:val="000000"/>
          <w:sz w:val="32"/>
          <w:szCs w:val="32"/>
          <w:highlight w:val="none"/>
        </w:rPr>
        <w:t>；</w:t>
      </w:r>
    </w:p>
    <w:p w14:paraId="78DC9444">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lang w:val="en-US" w:eastAsia="zh-CN"/>
        </w:rPr>
        <w:t>6</w:t>
      </w:r>
      <w:r>
        <w:rPr>
          <w:rFonts w:hint="eastAsia" w:ascii="Times New Roman" w:hAnsi="Times New Roman" w:eastAsia="仿宋" w:cs="仿宋"/>
          <w:color w:val="000000"/>
          <w:sz w:val="32"/>
          <w:szCs w:val="32"/>
          <w:highlight w:val="none"/>
        </w:rPr>
        <w:t>.设计、施工、检测、监理单位及相关人员资质证书。</w:t>
      </w:r>
    </w:p>
    <w:p w14:paraId="034D041D">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黑体" w:cs="黑体"/>
          <w:b w:val="0"/>
          <w:bCs w:val="0"/>
          <w:color w:val="000000"/>
          <w:sz w:val="32"/>
          <w:szCs w:val="32"/>
          <w:highlight w:val="none"/>
        </w:rPr>
        <w:t xml:space="preserve">    四、检测检定证书与记录</w:t>
      </w:r>
    </w:p>
    <w:p w14:paraId="1E10E98F">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1.特种设备使用登记证；</w:t>
      </w:r>
    </w:p>
    <w:p w14:paraId="10C1C417">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2.设备设施安装安全质量监督检验报告；</w:t>
      </w:r>
    </w:p>
    <w:p w14:paraId="022B2F56">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3.安全阀校验报告；</w:t>
      </w:r>
    </w:p>
    <w:p w14:paraId="3623671E">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4.压力表、温度计检定证书；</w:t>
      </w:r>
    </w:p>
    <w:p w14:paraId="60CEB951">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5.可燃与有毒气体检测报警装置检测报告；</w:t>
      </w:r>
    </w:p>
    <w:p w14:paraId="2B5368F8">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6.消防验收合格的意见书；</w:t>
      </w:r>
    </w:p>
    <w:p w14:paraId="112B27EE">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7.防雷装置年度检测登记证；</w:t>
      </w:r>
    </w:p>
    <w:p w14:paraId="34CB5C8B">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8.承压设备检查报告、在用工业管道在线检验报告；</w:t>
      </w:r>
    </w:p>
    <w:p w14:paraId="6F9396D2">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9.防爆电气设备设施安全检测报告；</w:t>
      </w:r>
    </w:p>
    <w:p w14:paraId="3E2508C8">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10.报警系统安装检查记录；</w:t>
      </w:r>
    </w:p>
    <w:p w14:paraId="25F0C34E">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 xml:space="preserve">11.关键材料和重点设备质量证明文件及材料复验报告； </w:t>
      </w:r>
    </w:p>
    <w:p w14:paraId="13FF93E9">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12.设备基础沉降记录；</w:t>
      </w:r>
    </w:p>
    <w:p w14:paraId="1A6F4926">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13.钢结构防火层施工记录；</w:t>
      </w:r>
    </w:p>
    <w:p w14:paraId="2230F9BF">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14.防静电接地检测记录；</w:t>
      </w:r>
    </w:p>
    <w:p w14:paraId="2B35EE03">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15.电缆敷设和绝缘检查记录；</w:t>
      </w:r>
    </w:p>
    <w:p w14:paraId="7A63C2C4">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 xml:space="preserve">    16.试运行调试记录。</w:t>
      </w:r>
    </w:p>
    <w:p w14:paraId="0D07CBB1">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黑体" w:cs="黑体"/>
          <w:b w:val="0"/>
          <w:bCs w:val="0"/>
          <w:color w:val="000000"/>
          <w:sz w:val="32"/>
          <w:szCs w:val="32"/>
          <w:highlight w:val="none"/>
        </w:rPr>
        <w:t xml:space="preserve">    五、应急保障措施</w:t>
      </w:r>
    </w:p>
    <w:p w14:paraId="1E9C20A7">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1.</w:t>
      </w:r>
      <w:r>
        <w:rPr>
          <w:rFonts w:hint="eastAsia" w:ascii="Times New Roman" w:hAnsi="Times New Roman" w:eastAsia="仿宋" w:cs="仿宋"/>
          <w:color w:val="000000"/>
          <w:sz w:val="32"/>
          <w:szCs w:val="32"/>
          <w:highlight w:val="none"/>
          <w:lang w:eastAsia="zh-CN"/>
        </w:rPr>
        <w:t>劳动保护用品配备情况说明；</w:t>
      </w:r>
    </w:p>
    <w:p w14:paraId="49DA61C4">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lang w:val="en-US" w:eastAsia="zh-CN"/>
        </w:rPr>
        <w:t>2.</w:t>
      </w:r>
      <w:r>
        <w:rPr>
          <w:rFonts w:hint="eastAsia" w:ascii="Times New Roman" w:hAnsi="Times New Roman" w:eastAsia="仿宋" w:cs="仿宋"/>
          <w:color w:val="000000"/>
          <w:sz w:val="32"/>
          <w:szCs w:val="32"/>
          <w:highlight w:val="none"/>
        </w:rPr>
        <w:t>生产安全事故应急预案；</w:t>
      </w:r>
    </w:p>
    <w:p w14:paraId="2015E8F7">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lang w:val="en-US" w:eastAsia="zh-CN"/>
        </w:rPr>
        <w:t>3</w:t>
      </w:r>
      <w:r>
        <w:rPr>
          <w:rFonts w:hint="eastAsia" w:ascii="Times New Roman" w:hAnsi="Times New Roman" w:eastAsia="仿宋" w:cs="仿宋"/>
          <w:color w:val="000000"/>
          <w:sz w:val="32"/>
          <w:szCs w:val="32"/>
          <w:highlight w:val="none"/>
        </w:rPr>
        <w:t>.生产经营单位生产安全事故应急预案备案登记表；</w:t>
      </w:r>
    </w:p>
    <w:p w14:paraId="72382904">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lang w:val="en-US" w:eastAsia="zh-CN"/>
        </w:rPr>
        <w:t>4</w:t>
      </w:r>
      <w:r>
        <w:rPr>
          <w:rFonts w:hint="eastAsia" w:ascii="Times New Roman" w:hAnsi="Times New Roman" w:eastAsia="仿宋" w:cs="仿宋"/>
          <w:color w:val="000000"/>
          <w:sz w:val="32"/>
          <w:szCs w:val="32"/>
          <w:highlight w:val="none"/>
        </w:rPr>
        <w:t>.抢维修以及应急救援协议。</w:t>
      </w:r>
    </w:p>
    <w:p w14:paraId="3514C55E">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黑体" w:cs="黑体"/>
          <w:b w:val="0"/>
          <w:bCs w:val="0"/>
          <w:color w:val="000000"/>
          <w:sz w:val="32"/>
          <w:szCs w:val="32"/>
          <w:highlight w:val="none"/>
        </w:rPr>
        <w:t xml:space="preserve">    六、相关图纸</w:t>
      </w:r>
    </w:p>
    <w:p w14:paraId="172924FC">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1.地理位置图、区域位置图；</w:t>
      </w:r>
    </w:p>
    <w:p w14:paraId="2E527775">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2.总平面布置图、工艺流程图、设备布置图、可燃（有毒）气体泄漏检测报警图</w:t>
      </w:r>
      <w:r>
        <w:rPr>
          <w:rFonts w:hint="eastAsia" w:ascii="Times New Roman" w:hAnsi="Times New Roman" w:eastAsia="仿宋" w:cs="仿宋"/>
          <w:color w:val="000000"/>
          <w:sz w:val="32"/>
          <w:szCs w:val="32"/>
          <w:highlight w:val="none"/>
          <w:vertAlign w:val="baseline"/>
          <w:lang w:val="en-US" w:eastAsia="zh-CN"/>
        </w:rPr>
        <w:t>、爆炸危险区域划分图</w:t>
      </w:r>
      <w:r>
        <w:rPr>
          <w:rFonts w:hint="eastAsia" w:ascii="Times New Roman" w:hAnsi="Times New Roman" w:eastAsia="仿宋" w:cs="仿宋"/>
          <w:color w:val="000000"/>
          <w:sz w:val="32"/>
          <w:szCs w:val="32"/>
          <w:highlight w:val="none"/>
        </w:rPr>
        <w:t>。</w:t>
      </w:r>
    </w:p>
    <w:p w14:paraId="50AFA0DF">
      <w:pPr>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640" w:firstLineChars="200"/>
        <w:jc w:val="both"/>
        <w:textAlignment w:val="auto"/>
        <w:outlineLvl w:val="9"/>
        <w:rPr>
          <w:rFonts w:hint="eastAsia" w:ascii="Times New Roman" w:hAnsi="Times New Roman" w:eastAsia="黑体" w:cs="黑体"/>
          <w:b w:val="0"/>
          <w:bCs w:val="0"/>
          <w:color w:val="000000"/>
          <w:sz w:val="32"/>
          <w:szCs w:val="32"/>
          <w:highlight w:val="none"/>
        </w:rPr>
      </w:pPr>
      <w:r>
        <w:rPr>
          <w:rFonts w:hint="eastAsia" w:ascii="Times New Roman" w:hAnsi="Times New Roman" w:eastAsia="黑体" w:cs="黑体"/>
          <w:b w:val="0"/>
          <w:bCs w:val="0"/>
          <w:color w:val="000000"/>
          <w:sz w:val="32"/>
          <w:szCs w:val="32"/>
          <w:highlight w:val="none"/>
        </w:rPr>
        <w:t>七、其他材料</w:t>
      </w:r>
    </w:p>
    <w:p w14:paraId="2106A51D">
      <w:pPr>
        <w:pStyle w:val="14"/>
        <w:spacing w:line="556" w:lineRule="exact"/>
        <w:rPr>
          <w:rFonts w:hint="default" w:ascii="Times New Roman" w:hAnsi="Times New Roman" w:eastAsia="方正仿宋_GBK" w:cs="Times New Roman"/>
          <w:color w:val="000000"/>
          <w:sz w:val="32"/>
          <w:szCs w:val="30"/>
          <w:highlight w:val="none"/>
          <w:shd w:val="clear" w:color="auto" w:fill="auto"/>
        </w:rPr>
        <w:sectPr>
          <w:pgSz w:w="11906" w:h="16838"/>
          <w:pgMar w:top="1984" w:right="1531" w:bottom="1984" w:left="1531" w:header="851" w:footer="1361" w:gutter="0"/>
          <w:pgNumType w:fmt="decimal"/>
          <w:cols w:space="0" w:num="1"/>
          <w:rtlGutter w:val="0"/>
          <w:docGrid w:type="lines" w:linePitch="313" w:charSpace="0"/>
        </w:sectPr>
      </w:pPr>
    </w:p>
    <w:p w14:paraId="150569F7">
      <w:pPr>
        <w:keepNext w:val="0"/>
        <w:keepLines w:val="0"/>
        <w:pageBreakBefore w:val="0"/>
        <w:widowControl w:val="0"/>
        <w:kinsoku/>
        <w:overflowPunct/>
        <w:topLinePunct w:val="0"/>
        <w:autoSpaceDE/>
        <w:autoSpaceDN/>
        <w:bidi w:val="0"/>
        <w:adjustRightInd/>
        <w:snapToGrid/>
        <w:spacing w:line="580" w:lineRule="exact"/>
        <w:ind w:left="0" w:leftChars="0"/>
        <w:rPr>
          <w:rFonts w:hint="eastAsia" w:ascii="Times New Roman" w:hAnsi="Times New Roman" w:eastAsia="黑体" w:cs="黑体"/>
          <w:color w:val="000000"/>
          <w:sz w:val="32"/>
          <w:szCs w:val="32"/>
          <w:highlight w:val="none"/>
        </w:rPr>
      </w:pPr>
      <w:r>
        <w:rPr>
          <w:rFonts w:hint="eastAsia" w:ascii="Times New Roman" w:hAnsi="Times New Roman" w:eastAsia="黑体" w:cs="黑体"/>
          <w:color w:val="000000"/>
          <w:sz w:val="32"/>
          <w:szCs w:val="32"/>
          <w:highlight w:val="none"/>
        </w:rPr>
        <w:t>附件</w:t>
      </w:r>
      <w:r>
        <w:rPr>
          <w:rFonts w:hint="eastAsia" w:ascii="Times New Roman" w:hAnsi="Times New Roman" w:eastAsia="黑体" w:cs="黑体"/>
          <w:color w:val="000000"/>
          <w:sz w:val="32"/>
          <w:szCs w:val="32"/>
          <w:highlight w:val="none"/>
          <w:lang w:val="en-US" w:eastAsia="zh-CN"/>
        </w:rPr>
        <w:t>4-</w:t>
      </w:r>
      <w:r>
        <w:rPr>
          <w:rFonts w:hint="eastAsia" w:ascii="Times New Roman" w:hAnsi="Times New Roman" w:eastAsia="黑体" w:cs="黑体"/>
          <w:color w:val="000000"/>
          <w:sz w:val="32"/>
          <w:szCs w:val="32"/>
          <w:highlight w:val="none"/>
        </w:rPr>
        <w:t>3</w:t>
      </w:r>
    </w:p>
    <w:p w14:paraId="182608FA">
      <w:pPr>
        <w:keepNext w:val="0"/>
        <w:keepLines w:val="0"/>
        <w:pageBreakBefore w:val="0"/>
        <w:widowControl w:val="0"/>
        <w:kinsoku/>
        <w:overflowPunct/>
        <w:topLinePunct w:val="0"/>
        <w:autoSpaceDE/>
        <w:autoSpaceDN/>
        <w:bidi w:val="0"/>
        <w:adjustRightInd/>
        <w:snapToGrid/>
        <w:spacing w:line="240" w:lineRule="exact"/>
        <w:ind w:left="0" w:leftChars="0"/>
        <w:rPr>
          <w:rFonts w:ascii="Times New Roman" w:hAnsi="Times New Roman"/>
          <w:color w:val="000000"/>
          <w:highlight w:val="none"/>
        </w:rPr>
      </w:pPr>
    </w:p>
    <w:p w14:paraId="4485D7B0">
      <w:pPr>
        <w:pStyle w:val="14"/>
        <w:ind w:firstLine="0" w:firstLineChars="0"/>
        <w:jc w:val="center"/>
        <w:rPr>
          <w:rFonts w:hint="eastAsia" w:ascii="Times New Roman" w:hAnsi="Times New Roman" w:eastAsia="方正小标宋简体" w:cs="方正小标宋简体"/>
          <w:b w:val="0"/>
          <w:bCs w:val="0"/>
          <w:color w:val="000000"/>
          <w:spacing w:val="0"/>
          <w:w w:val="95"/>
          <w:sz w:val="44"/>
          <w:szCs w:val="44"/>
          <w:highlight w:val="none"/>
        </w:rPr>
      </w:pPr>
      <w:r>
        <w:rPr>
          <w:rFonts w:hint="eastAsia" w:ascii="Times New Roman" w:hAnsi="Times New Roman" w:eastAsia="方正小标宋简体" w:cs="方正小标宋简体"/>
          <w:b w:val="0"/>
          <w:bCs w:val="0"/>
          <w:color w:val="000000"/>
          <w:spacing w:val="0"/>
          <w:w w:val="95"/>
          <w:sz w:val="44"/>
          <w:szCs w:val="44"/>
          <w:highlight w:val="none"/>
        </w:rPr>
        <w:t>危险化学品建设项目安全设施验收工作流程简图</w:t>
      </w:r>
    </w:p>
    <w:p w14:paraId="24BC2372">
      <w:pPr>
        <w:pStyle w:val="14"/>
        <w:ind w:firstLine="0" w:firstLineChars="0"/>
        <w:jc w:val="center"/>
        <w:rPr>
          <w:rFonts w:hint="eastAsia" w:ascii="Times New Roman" w:hAnsi="Times New Roman" w:eastAsia="仿宋_GB2312" w:cs="宋体"/>
          <w:color w:val="000000"/>
          <w:sz w:val="32"/>
          <w:szCs w:val="32"/>
          <w:highlight w:val="none"/>
        </w:rPr>
        <w:sectPr>
          <w:pgSz w:w="11906" w:h="16838"/>
          <w:pgMar w:top="1587" w:right="1474" w:bottom="1474" w:left="1474" w:header="851" w:footer="1361" w:gutter="0"/>
          <w:pgNumType w:fmt="decimal"/>
          <w:cols w:space="0" w:num="1"/>
          <w:rtlGutter w:val="0"/>
          <w:docGrid w:type="lines" w:linePitch="312" w:charSpace="0"/>
        </w:sectPr>
      </w:pPr>
      <w:r>
        <w:rPr>
          <w:rFonts w:ascii="Times New Roman" w:hAnsi="Times New Roman"/>
          <w:color w:val="000000"/>
          <w:sz w:val="32"/>
          <w:highlight w:val="none"/>
        </w:rPr>
        <mc:AlternateContent>
          <mc:Choice Requires="wps">
            <w:drawing>
              <wp:anchor distT="0" distB="0" distL="0" distR="0" simplePos="0" relativeHeight="251659264" behindDoc="0" locked="0" layoutInCell="1" allowOverlap="1">
                <wp:simplePos x="0" y="0"/>
                <wp:positionH relativeFrom="column">
                  <wp:posOffset>1274445</wp:posOffset>
                </wp:positionH>
                <wp:positionV relativeFrom="paragraph">
                  <wp:posOffset>6082665</wp:posOffset>
                </wp:positionV>
                <wp:extent cx="2282825" cy="397510"/>
                <wp:effectExtent l="5080" t="4445" r="17145" b="17145"/>
                <wp:wrapNone/>
                <wp:docPr id="1026" name="流程图: 可选过程 31"/>
                <wp:cNvGraphicFramePr/>
                <a:graphic xmlns:a="http://schemas.openxmlformats.org/drawingml/2006/main">
                  <a:graphicData uri="http://schemas.microsoft.com/office/word/2010/wordprocessingShape">
                    <wps:wsp>
                      <wps:cNvSpPr/>
                      <wps:spPr>
                        <a:xfrm>
                          <a:off x="0" y="0"/>
                          <a:ext cx="2282825" cy="397509"/>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1F96750C">
                            <w:pPr>
                              <w:jc w:val="center"/>
                              <w:rPr>
                                <w:rFonts w:hint="eastAsia"/>
                                <w:sz w:val="24"/>
                                <w:szCs w:val="24"/>
                              </w:rPr>
                            </w:pPr>
                            <w:r>
                              <w:rPr>
                                <w:rFonts w:hint="eastAsia"/>
                                <w:sz w:val="24"/>
                                <w:szCs w:val="24"/>
                              </w:rPr>
                              <w:t>告知验收情况并申请相关许可</w:t>
                            </w:r>
                          </w:p>
                        </w:txbxContent>
                      </wps:txbx>
                      <wps:bodyPr upright="1"/>
                    </wps:wsp>
                  </a:graphicData>
                </a:graphic>
              </wp:anchor>
            </w:drawing>
          </mc:Choice>
          <mc:Fallback>
            <w:pict>
              <v:shape id="流程图: 可选过程 31" o:spid="_x0000_s1026" o:spt="176" type="#_x0000_t176" style="position:absolute;left:0pt;margin-left:100.35pt;margin-top:478.95pt;height:31.3pt;width:179.75pt;z-index:251659264;mso-width-relative:page;mso-height-relative:page;" fillcolor="#FFFFFF" filled="t" stroked="t" coordsize="21600,21600" o:gfxdata="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MxdVv/XAAAADAEAAA8AAAAAAAAAAQAgAAAAIgAAAGRycy9kb3ducmV2LnhtbFBLAQIUABQA&#10;AAAIAIdO4kDNHLW0KgIAAFMEAAAOAAAAAAAAAAEAIAAAACYBAABkcnMvZTJvRG9jLnhtbFBLBQYA&#10;AAAABgAGAFkBAADCBQAAAAA=&#10;">
                <v:fill on="t" focussize="0,0"/>
                <v:stroke color="#000000" joinstyle="miter"/>
                <v:imagedata o:title=""/>
                <o:lock v:ext="edit" aspectratio="f"/>
                <v:textbox>
                  <w:txbxContent>
                    <w:p w14:paraId="1F96750C">
                      <w:pPr>
                        <w:jc w:val="center"/>
                        <w:rPr>
                          <w:rFonts w:hint="eastAsia"/>
                          <w:sz w:val="24"/>
                          <w:szCs w:val="24"/>
                        </w:rPr>
                      </w:pPr>
                      <w:r>
                        <w:rPr>
                          <w:rFonts w:hint="eastAsia"/>
                          <w:sz w:val="24"/>
                          <w:szCs w:val="24"/>
                        </w:rPr>
                        <w:t>告知验收情况并申请相关许可</w:t>
                      </w:r>
                    </w:p>
                  </w:txbxContent>
                </v:textbox>
              </v:shape>
            </w:pict>
          </mc:Fallback>
        </mc:AlternateContent>
      </w:r>
      <w:r>
        <w:rPr>
          <w:rFonts w:ascii="Times New Roman" w:hAnsi="Times New Roman"/>
          <w:color w:val="000000"/>
          <w:sz w:val="32"/>
          <w:highlight w:val="none"/>
        </w:rPr>
        <mc:AlternateContent>
          <mc:Choice Requires="wps">
            <w:drawing>
              <wp:anchor distT="0" distB="0" distL="0" distR="0" simplePos="0" relativeHeight="251659264" behindDoc="0" locked="0" layoutInCell="1" allowOverlap="1">
                <wp:simplePos x="0" y="0"/>
                <wp:positionH relativeFrom="column">
                  <wp:posOffset>1092200</wp:posOffset>
                </wp:positionH>
                <wp:positionV relativeFrom="paragraph">
                  <wp:posOffset>5063490</wp:posOffset>
                </wp:positionV>
                <wp:extent cx="2335530" cy="541020"/>
                <wp:effectExtent l="20955" t="5080" r="24765" b="6350"/>
                <wp:wrapNone/>
                <wp:docPr id="1027" name="流程图: 决策 46"/>
                <wp:cNvGraphicFramePr/>
                <a:graphic xmlns:a="http://schemas.openxmlformats.org/drawingml/2006/main">
                  <a:graphicData uri="http://schemas.microsoft.com/office/word/2010/wordprocessingShape">
                    <wps:wsp>
                      <wps:cNvSpPr/>
                      <wps:spPr>
                        <a:xfrm>
                          <a:off x="0" y="0"/>
                          <a:ext cx="2335530" cy="54102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14:paraId="5DE86B7D">
                            <w:pPr>
                              <w:jc w:val="center"/>
                              <w:rPr>
                                <w:rFonts w:hint="eastAsia"/>
                                <w:sz w:val="24"/>
                                <w:szCs w:val="24"/>
                              </w:rPr>
                            </w:pPr>
                            <w:r>
                              <w:rPr>
                                <w:rFonts w:hint="eastAsia"/>
                                <w:sz w:val="24"/>
                                <w:szCs w:val="24"/>
                              </w:rPr>
                              <w:t>形成验收结论</w:t>
                            </w:r>
                          </w:p>
                        </w:txbxContent>
                      </wps:txbx>
                      <wps:bodyPr upright="1"/>
                    </wps:wsp>
                  </a:graphicData>
                </a:graphic>
              </wp:anchor>
            </w:drawing>
          </mc:Choice>
          <mc:Fallback>
            <w:pict>
              <v:shape id="流程图: 决策 46" o:spid="_x0000_s1026" o:spt="110" type="#_x0000_t110" style="position:absolute;left:0pt;margin-left:86pt;margin-top:398.7pt;height:42.6pt;width:183.9pt;z-index:251659264;mso-width-relative:page;mso-height-relative:page;" fillcolor="#FFFFFF" filled="t" stroked="t" coordsize="21600,21600" o:gfxdata="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k&#10;bBHu2gAAAAsBAAAPAAAAAAAAAAEAIAAAACIAAABkcnMvZG93bnJldi54bWxQSwECFAAUAAAACACH&#10;TuJA+pilMSICAABFBAAADgAAAAAAAAABACAAAAApAQAAZHJzL2Uyb0RvYy54bWxQSwUGAAAAAAYA&#10;BgBZAQAAvQUAAAAA&#10;">
                <v:fill on="t" focussize="0,0"/>
                <v:stroke color="#000000" joinstyle="miter"/>
                <v:imagedata o:title=""/>
                <o:lock v:ext="edit" aspectratio="f"/>
                <v:textbox>
                  <w:txbxContent>
                    <w:p w14:paraId="5DE86B7D">
                      <w:pPr>
                        <w:jc w:val="center"/>
                        <w:rPr>
                          <w:rFonts w:hint="eastAsia"/>
                          <w:sz w:val="24"/>
                          <w:szCs w:val="24"/>
                        </w:rPr>
                      </w:pPr>
                      <w:r>
                        <w:rPr>
                          <w:rFonts w:hint="eastAsia"/>
                          <w:sz w:val="24"/>
                          <w:szCs w:val="24"/>
                        </w:rPr>
                        <w:t>形成验收结论</w:t>
                      </w:r>
                    </w:p>
                  </w:txbxContent>
                </v:textbox>
              </v:shape>
            </w:pict>
          </mc:Fallback>
        </mc:AlternateContent>
      </w:r>
      <w:r>
        <w:rPr>
          <w:rFonts w:ascii="Times New Roman" w:hAnsi="Times New Roman"/>
          <w:color w:val="000000"/>
          <w:sz w:val="32"/>
          <w:highlight w:val="none"/>
        </w:rPr>
        <mc:AlternateContent>
          <mc:Choice Requires="wps">
            <w:drawing>
              <wp:anchor distT="0" distB="0" distL="0" distR="0" simplePos="0" relativeHeight="251659264" behindDoc="0" locked="0" layoutInCell="1" allowOverlap="1">
                <wp:simplePos x="0" y="0"/>
                <wp:positionH relativeFrom="column">
                  <wp:posOffset>2361565</wp:posOffset>
                </wp:positionH>
                <wp:positionV relativeFrom="paragraph">
                  <wp:posOffset>5588635</wp:posOffset>
                </wp:positionV>
                <wp:extent cx="276225" cy="484505"/>
                <wp:effectExtent l="0" t="0" r="9525" b="10795"/>
                <wp:wrapNone/>
                <wp:docPr id="1028" name="矩形 35"/>
                <wp:cNvGraphicFramePr/>
                <a:graphic xmlns:a="http://schemas.openxmlformats.org/drawingml/2006/main">
                  <a:graphicData uri="http://schemas.microsoft.com/office/word/2010/wordprocessingShape">
                    <wps:wsp>
                      <wps:cNvSpPr/>
                      <wps:spPr>
                        <a:xfrm>
                          <a:off x="0" y="0"/>
                          <a:ext cx="276225" cy="484504"/>
                        </a:xfrm>
                        <a:prstGeom prst="rect">
                          <a:avLst/>
                        </a:prstGeom>
                        <a:solidFill>
                          <a:srgbClr val="FFFFFF"/>
                        </a:solidFill>
                        <a:ln>
                          <a:noFill/>
                        </a:ln>
                      </wps:spPr>
                      <wps:txbx>
                        <w:txbxContent>
                          <w:p w14:paraId="5A0AB9C0">
                            <w:pPr>
                              <w:rPr>
                                <w:rFonts w:hint="eastAsia"/>
                                <w:sz w:val="24"/>
                                <w:szCs w:val="24"/>
                              </w:rPr>
                            </w:pPr>
                            <w:r>
                              <w:rPr>
                                <w:rFonts w:hint="eastAsia"/>
                                <w:sz w:val="24"/>
                                <w:szCs w:val="24"/>
                              </w:rPr>
                              <w:t>通过</w:t>
                            </w:r>
                          </w:p>
                        </w:txbxContent>
                      </wps:txbx>
                      <wps:bodyPr upright="1"/>
                    </wps:wsp>
                  </a:graphicData>
                </a:graphic>
              </wp:anchor>
            </w:drawing>
          </mc:Choice>
          <mc:Fallback>
            <w:pict>
              <v:rect id="矩形 35" o:spid="_x0000_s1026" o:spt="1" style="position:absolute;left:0pt;margin-left:185.95pt;margin-top:440.05pt;height:38.15pt;width:21.75pt;z-index:251659264;mso-width-relative:page;mso-height-relative:page;" fillcolor="#FFFFFF" filled="t" stroked="f" coordsize="21600,21600" o:gfxdata="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DTxSJdkAAAALAQAADwAAAAAAAAABACAAAAAiAAAAZHJzL2Rvd25yZXYueG1sUEsBAhQA&#10;FAAAAAgAh07iQLO+IWW4AQAAbQMAAA4AAAAAAAAAAQAgAAAAKAEAAGRycy9lMm9Eb2MueG1sUEsF&#10;BgAAAAAGAAYAWQEAAFIFAAAAAA==&#10;">
                <v:fill on="t" focussize="0,0"/>
                <v:stroke on="f"/>
                <v:imagedata o:title=""/>
                <o:lock v:ext="edit" aspectratio="f"/>
                <v:textbox>
                  <w:txbxContent>
                    <w:p w14:paraId="5A0AB9C0">
                      <w:pPr>
                        <w:rPr>
                          <w:rFonts w:hint="eastAsia"/>
                          <w:sz w:val="24"/>
                          <w:szCs w:val="24"/>
                        </w:rPr>
                      </w:pPr>
                      <w:r>
                        <w:rPr>
                          <w:rFonts w:hint="eastAsia"/>
                          <w:sz w:val="24"/>
                          <w:szCs w:val="24"/>
                        </w:rPr>
                        <w:t>通过</w:t>
                      </w:r>
                    </w:p>
                  </w:txbxContent>
                </v:textbox>
              </v:rect>
            </w:pict>
          </mc:Fallback>
        </mc:AlternateContent>
      </w:r>
      <w:r>
        <w:rPr>
          <w:rFonts w:ascii="Times New Roman" w:hAnsi="Times New Roman"/>
          <w:color w:val="000000"/>
          <w:sz w:val="32"/>
          <w:highlight w:val="none"/>
        </w:rPr>
        <mc:AlternateContent>
          <mc:Choice Requires="wps">
            <w:drawing>
              <wp:anchor distT="0" distB="0" distL="0" distR="0" simplePos="0" relativeHeight="251659264" behindDoc="0" locked="0" layoutInCell="1" allowOverlap="1">
                <wp:simplePos x="0" y="0"/>
                <wp:positionH relativeFrom="column">
                  <wp:posOffset>3302000</wp:posOffset>
                </wp:positionH>
                <wp:positionV relativeFrom="paragraph">
                  <wp:posOffset>1517015</wp:posOffset>
                </wp:positionV>
                <wp:extent cx="1428750" cy="390525"/>
                <wp:effectExtent l="9525" t="4445" r="9525" b="5080"/>
                <wp:wrapNone/>
                <wp:docPr id="1029" name="流程图: 数据 1"/>
                <wp:cNvGraphicFramePr/>
                <a:graphic xmlns:a="http://schemas.openxmlformats.org/drawingml/2006/main">
                  <a:graphicData uri="http://schemas.microsoft.com/office/word/2010/wordprocessingShape">
                    <wps:wsp>
                      <wps:cNvSpPr/>
                      <wps:spPr>
                        <a:xfrm>
                          <a:off x="0" y="0"/>
                          <a:ext cx="1428750" cy="390525"/>
                        </a:xfrm>
                        <a:prstGeom prst="flowChartInputOutput">
                          <a:avLst/>
                        </a:prstGeom>
                        <a:solidFill>
                          <a:srgbClr val="FFFFFF"/>
                        </a:solidFill>
                        <a:ln w="9525" cap="flat" cmpd="sng">
                          <a:solidFill>
                            <a:srgbClr val="000000"/>
                          </a:solidFill>
                          <a:prstDash val="solid"/>
                          <a:miter/>
                          <a:headEnd type="none" w="med" len="med"/>
                          <a:tailEnd type="none" w="med" len="med"/>
                        </a:ln>
                      </wps:spPr>
                      <wps:txbx>
                        <w:txbxContent>
                          <w:p w14:paraId="5F437997">
                            <w:pPr>
                              <w:rPr>
                                <w:rFonts w:hint="eastAsia"/>
                                <w:sz w:val="24"/>
                                <w:szCs w:val="24"/>
                              </w:rPr>
                            </w:pPr>
                            <w:r>
                              <w:rPr>
                                <w:rFonts w:hint="eastAsia"/>
                                <w:sz w:val="24"/>
                                <w:szCs w:val="24"/>
                              </w:rPr>
                              <w:t>资料准备</w:t>
                            </w:r>
                          </w:p>
                        </w:txbxContent>
                      </wps:txbx>
                      <wps:bodyPr upright="1"/>
                    </wps:wsp>
                  </a:graphicData>
                </a:graphic>
              </wp:anchor>
            </w:drawing>
          </mc:Choice>
          <mc:Fallback>
            <w:pict>
              <v:shape id="流程图: 数据 1" o:spid="_x0000_s1026" o:spt="111" type="#_x0000_t111" style="position:absolute;left:0pt;margin-left:260pt;margin-top:119.45pt;height:30.75pt;width:112.5pt;z-index:251659264;mso-width-relative:page;mso-height-relative:page;" fillcolor="#FFFFFF" filled="t" stroked="t" coordsize="21600,21600" o:gfxdata="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ycZSF&#10;2gAAAAsBAAAPAAAAAAAAAAEAIAAAACIAAABkcnMvZG93bnJldi54bWxQSwECFAAUAAAACACHTuJA&#10;ArGA1h8CAABHBAAADgAAAAAAAAABACAAAAApAQAAZHJzL2Uyb0RvYy54bWxQSwUGAAAAAAYABgBZ&#10;AQAAugUAAAAA&#10;">
                <v:fill on="t" focussize="0,0"/>
                <v:stroke color="#000000" joinstyle="miter"/>
                <v:imagedata o:title=""/>
                <o:lock v:ext="edit" aspectratio="f"/>
                <v:textbox>
                  <w:txbxContent>
                    <w:p w14:paraId="5F437997">
                      <w:pPr>
                        <w:rPr>
                          <w:rFonts w:hint="eastAsia"/>
                          <w:sz w:val="24"/>
                          <w:szCs w:val="24"/>
                        </w:rPr>
                      </w:pPr>
                      <w:r>
                        <w:rPr>
                          <w:rFonts w:hint="eastAsia"/>
                          <w:sz w:val="24"/>
                          <w:szCs w:val="24"/>
                        </w:rPr>
                        <w:t>资料准备</w:t>
                      </w:r>
                    </w:p>
                  </w:txbxContent>
                </v:textbox>
              </v:shape>
            </w:pict>
          </mc:Fallback>
        </mc:AlternateContent>
      </w:r>
      <w:r>
        <w:rPr>
          <w:rFonts w:ascii="Times New Roman" w:hAnsi="Times New Roman"/>
          <w:color w:val="000000"/>
          <w:sz w:val="32"/>
          <w:highlight w:val="none"/>
        </w:rPr>
        <mc:AlternateContent>
          <mc:Choice Requires="wps">
            <w:drawing>
              <wp:anchor distT="0" distB="0" distL="0" distR="0" simplePos="0" relativeHeight="251659264" behindDoc="0" locked="0" layoutInCell="1" allowOverlap="1">
                <wp:simplePos x="0" y="0"/>
                <wp:positionH relativeFrom="column">
                  <wp:posOffset>-20955</wp:posOffset>
                </wp:positionH>
                <wp:positionV relativeFrom="paragraph">
                  <wp:posOffset>1517015</wp:posOffset>
                </wp:positionV>
                <wp:extent cx="1437640" cy="390525"/>
                <wp:effectExtent l="9525" t="4445" r="19685" b="5080"/>
                <wp:wrapNone/>
                <wp:docPr id="1030" name="流程图: 数据 30"/>
                <wp:cNvGraphicFramePr/>
                <a:graphic xmlns:a="http://schemas.openxmlformats.org/drawingml/2006/main">
                  <a:graphicData uri="http://schemas.microsoft.com/office/word/2010/wordprocessingShape">
                    <wps:wsp>
                      <wps:cNvSpPr/>
                      <wps:spPr>
                        <a:xfrm>
                          <a:off x="0" y="0"/>
                          <a:ext cx="1437640" cy="390525"/>
                        </a:xfrm>
                        <a:prstGeom prst="flowChartInputOutput">
                          <a:avLst/>
                        </a:prstGeom>
                        <a:solidFill>
                          <a:srgbClr val="FFFFFF"/>
                        </a:solidFill>
                        <a:ln w="9525" cap="flat" cmpd="sng">
                          <a:solidFill>
                            <a:srgbClr val="000000"/>
                          </a:solidFill>
                          <a:prstDash val="solid"/>
                          <a:miter/>
                          <a:headEnd type="none" w="med" len="med"/>
                          <a:tailEnd type="none" w="med" len="med"/>
                        </a:ln>
                      </wps:spPr>
                      <wps:txbx>
                        <w:txbxContent>
                          <w:p w14:paraId="0BB3A40C">
                            <w:pPr>
                              <w:rPr>
                                <w:rFonts w:hint="eastAsia"/>
                              </w:rPr>
                            </w:pPr>
                            <w:r>
                              <w:rPr>
                                <w:rFonts w:hint="eastAsia"/>
                                <w:sz w:val="24"/>
                                <w:szCs w:val="24"/>
                              </w:rPr>
                              <w:t>验收范围</w:t>
                            </w:r>
                          </w:p>
                        </w:txbxContent>
                      </wps:txbx>
                      <wps:bodyPr upright="1"/>
                    </wps:wsp>
                  </a:graphicData>
                </a:graphic>
              </wp:anchor>
            </w:drawing>
          </mc:Choice>
          <mc:Fallback>
            <w:pict>
              <v:shape id="流程图: 数据 30" o:spid="_x0000_s1026" o:spt="111" type="#_x0000_t111" style="position:absolute;left:0pt;margin-left:-1.65pt;margin-top:119.45pt;height:30.75pt;width:113.2pt;z-index:251659264;mso-width-relative:page;mso-height-relative:page;" fillcolor="#FFFFFF" filled="t" stroked="t" coordsize="21600,21600" o:gfxdata="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H8BN&#10;5NkAAAAKAQAADwAAAAAAAAABACAAAAAiAAAAZHJzL2Rvd25yZXYueG1sUEsBAhQAFAAAAAgAh07i&#10;QIrtaH0hAgAASAQAAA4AAAAAAAAAAQAgAAAAKAEAAGRycy9lMm9Eb2MueG1sUEsFBgAAAAAGAAYA&#10;WQEAALsFAAAAAA==&#10;">
                <v:fill on="t" focussize="0,0"/>
                <v:stroke color="#000000" joinstyle="miter"/>
                <v:imagedata o:title=""/>
                <o:lock v:ext="edit" aspectratio="f"/>
                <v:textbox>
                  <w:txbxContent>
                    <w:p w14:paraId="0BB3A40C">
                      <w:pPr>
                        <w:rPr>
                          <w:rFonts w:hint="eastAsia"/>
                        </w:rPr>
                      </w:pPr>
                      <w:r>
                        <w:rPr>
                          <w:rFonts w:hint="eastAsia"/>
                          <w:sz w:val="24"/>
                          <w:szCs w:val="24"/>
                        </w:rPr>
                        <w:t>验收范围</w:t>
                      </w:r>
                    </w:p>
                  </w:txbxContent>
                </v:textbox>
              </v:shape>
            </w:pict>
          </mc:Fallback>
        </mc:AlternateContent>
      </w:r>
      <w:r>
        <w:rPr>
          <w:rFonts w:ascii="Times New Roman" w:hAnsi="Times New Roman"/>
          <w:color w:val="000000"/>
          <w:sz w:val="32"/>
          <w:highlight w:val="none"/>
        </w:rPr>
        <mc:AlternateContent>
          <mc:Choice Requires="wps">
            <w:drawing>
              <wp:anchor distT="0" distB="0" distL="0" distR="0" simplePos="0" relativeHeight="251659264" behindDoc="0" locked="0" layoutInCell="1" allowOverlap="1">
                <wp:simplePos x="0" y="0"/>
                <wp:positionH relativeFrom="column">
                  <wp:posOffset>1683385</wp:posOffset>
                </wp:positionH>
                <wp:positionV relativeFrom="paragraph">
                  <wp:posOffset>1459230</wp:posOffset>
                </wp:positionV>
                <wp:extent cx="1398905" cy="428625"/>
                <wp:effectExtent l="8890" t="4445" r="20955" b="5080"/>
                <wp:wrapNone/>
                <wp:docPr id="1031" name="流程图: 数据 25"/>
                <wp:cNvGraphicFramePr/>
                <a:graphic xmlns:a="http://schemas.openxmlformats.org/drawingml/2006/main">
                  <a:graphicData uri="http://schemas.microsoft.com/office/word/2010/wordprocessingShape">
                    <wps:wsp>
                      <wps:cNvSpPr/>
                      <wps:spPr>
                        <a:xfrm>
                          <a:off x="0" y="0"/>
                          <a:ext cx="1398905" cy="428625"/>
                        </a:xfrm>
                        <a:prstGeom prst="flowChartInputOutput">
                          <a:avLst/>
                        </a:prstGeom>
                        <a:solidFill>
                          <a:srgbClr val="FFFFFF"/>
                        </a:solidFill>
                        <a:ln w="9525" cap="flat" cmpd="sng">
                          <a:solidFill>
                            <a:srgbClr val="000000"/>
                          </a:solidFill>
                          <a:prstDash val="solid"/>
                          <a:miter/>
                          <a:headEnd type="none" w="med" len="med"/>
                          <a:tailEnd type="none" w="med" len="med"/>
                        </a:ln>
                      </wps:spPr>
                      <wps:txbx>
                        <w:txbxContent>
                          <w:p w14:paraId="5441A21C">
                            <w:pPr>
                              <w:rPr>
                                <w:rFonts w:hint="eastAsia"/>
                                <w:sz w:val="24"/>
                                <w:szCs w:val="24"/>
                              </w:rPr>
                            </w:pPr>
                            <w:r>
                              <w:rPr>
                                <w:rFonts w:hint="eastAsia"/>
                                <w:sz w:val="24"/>
                                <w:szCs w:val="24"/>
                              </w:rPr>
                              <w:t>参与人员</w:t>
                            </w:r>
                          </w:p>
                        </w:txbxContent>
                      </wps:txbx>
                      <wps:bodyPr upright="1"/>
                    </wps:wsp>
                  </a:graphicData>
                </a:graphic>
              </wp:anchor>
            </w:drawing>
          </mc:Choice>
          <mc:Fallback>
            <w:pict>
              <v:shape id="流程图: 数据 25" o:spid="_x0000_s1026" o:spt="111" type="#_x0000_t111" style="position:absolute;left:0pt;margin-left:132.55pt;margin-top:114.9pt;height:33.75pt;width:110.15pt;z-index:251659264;mso-width-relative:page;mso-height-relative:page;" fillcolor="#FFFFFF" filled="t" stroked="t" coordsize="21600,21600" o:gfxdata="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YxZ2Y2gAAAAsBAAAPAAAAAAAAAAEAIAAAACIAAABkcnMvZG93bnJldi54bWxQSwECFAAUAAAA&#10;CACHTuJAnd0aoCUCAABIBAAADgAAAAAAAAABACAAAAApAQAAZHJzL2Uyb0RvYy54bWxQSwUGAAAA&#10;AAYABgBZAQAAwAUAAAAA&#10;">
                <v:fill on="t" focussize="0,0"/>
                <v:stroke color="#000000" joinstyle="miter"/>
                <v:imagedata o:title=""/>
                <o:lock v:ext="edit" aspectratio="f"/>
                <v:textbox>
                  <w:txbxContent>
                    <w:p w14:paraId="5441A21C">
                      <w:pPr>
                        <w:rPr>
                          <w:rFonts w:hint="eastAsia"/>
                          <w:sz w:val="24"/>
                          <w:szCs w:val="24"/>
                        </w:rPr>
                      </w:pPr>
                      <w:r>
                        <w:rPr>
                          <w:rFonts w:hint="eastAsia"/>
                          <w:sz w:val="24"/>
                          <w:szCs w:val="24"/>
                        </w:rPr>
                        <w:t>参与人员</w:t>
                      </w:r>
                    </w:p>
                  </w:txbxContent>
                </v:textbox>
              </v:shape>
            </w:pict>
          </mc:Fallback>
        </mc:AlternateContent>
      </w:r>
      <w:r>
        <w:rPr>
          <w:rFonts w:ascii="Times New Roman" w:hAnsi="Times New Roman"/>
          <w:color w:val="000000"/>
          <w:sz w:val="32"/>
          <w:highlight w:val="none"/>
        </w:rPr>
        <mc:AlternateContent>
          <mc:Choice Requires="wps">
            <w:drawing>
              <wp:anchor distT="0" distB="0" distL="0" distR="0" simplePos="0" relativeHeight="251659264" behindDoc="0" locked="0" layoutInCell="1" allowOverlap="1">
                <wp:simplePos x="0" y="0"/>
                <wp:positionH relativeFrom="column">
                  <wp:posOffset>4092575</wp:posOffset>
                </wp:positionH>
                <wp:positionV relativeFrom="paragraph">
                  <wp:posOffset>1249680</wp:posOffset>
                </wp:positionV>
                <wp:extent cx="635" cy="266700"/>
                <wp:effectExtent l="37465" t="0" r="38100" b="0"/>
                <wp:wrapNone/>
                <wp:docPr id="1032" name="直接连接符 2"/>
                <wp:cNvGraphicFramePr/>
                <a:graphic xmlns:a="http://schemas.openxmlformats.org/drawingml/2006/main">
                  <a:graphicData uri="http://schemas.microsoft.com/office/word/2010/wordprocessingShape">
                    <wps:wsp>
                      <wps:cNvCnPr/>
                      <wps:spPr>
                        <a:xfrm>
                          <a:off x="0" y="0"/>
                          <a:ext cx="634" cy="266700"/>
                        </a:xfrm>
                        <a:prstGeom prst="line">
                          <a:avLst/>
                        </a:prstGeom>
                        <a:ln w="9525" cap="flat" cmpd="sng">
                          <a:solidFill>
                            <a:srgbClr val="000000"/>
                          </a:solidFill>
                          <a:prstDash val="solid"/>
                          <a:round/>
                          <a:headEnd type="none" w="med" len="med"/>
                          <a:tailEnd type="triangle" w="med" len="med"/>
                        </a:ln>
                      </wps:spPr>
                      <wps:bodyPr/>
                    </wps:wsp>
                  </a:graphicData>
                </a:graphic>
              </wp:anchor>
            </w:drawing>
          </mc:Choice>
          <mc:Fallback>
            <w:pict>
              <v:line id="直接连接符 2" o:spid="_x0000_s1026" o:spt="20" style="position:absolute;left:0pt;margin-left:322.25pt;margin-top:98.4pt;height:21pt;width:0.05pt;z-index:251659264;mso-width-relative:page;mso-height-relative:page;" filled="f" stroked="t" coordsize="21600,21600" o:gfxdata="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MmMn2faAAAACwEAAA8AAAAAAAAAAQAgAAAAIgAAAGRycy9kb3du&#10;cmV2LnhtbFBLAQIUABQAAAAIAIdO4kDTFKyu/QEAAOoDAAAOAAAAAAAAAAEAIAAAACkBAABkcnMv&#10;ZTJvRG9jLnhtbFBLBQYAAAAABgAGAFkBAACYBQAAAAA=&#10;">
                <v:fill on="f" focussize="0,0"/>
                <v:stroke color="#000000" joinstyle="round" endarrow="block"/>
                <v:imagedata o:title=""/>
                <o:lock v:ext="edit" aspectratio="f"/>
              </v:line>
            </w:pict>
          </mc:Fallback>
        </mc:AlternateContent>
      </w:r>
      <w:r>
        <w:rPr>
          <w:rFonts w:ascii="Times New Roman" w:hAnsi="Times New Roman"/>
          <w:color w:val="000000"/>
          <w:sz w:val="32"/>
          <w:highlight w:val="none"/>
        </w:rPr>
        <mc:AlternateContent>
          <mc:Choice Requires="wps">
            <w:drawing>
              <wp:anchor distT="0" distB="0" distL="0" distR="0" simplePos="0" relativeHeight="251659264" behindDoc="0" locked="0" layoutInCell="1" allowOverlap="1">
                <wp:simplePos x="0" y="0"/>
                <wp:positionH relativeFrom="column">
                  <wp:posOffset>825500</wp:posOffset>
                </wp:positionH>
                <wp:positionV relativeFrom="paragraph">
                  <wp:posOffset>1249680</wp:posOffset>
                </wp:positionV>
                <wp:extent cx="9525" cy="257175"/>
                <wp:effectExtent l="31115" t="0" r="35560" b="9525"/>
                <wp:wrapNone/>
                <wp:docPr id="1033" name="直接连接符 3"/>
                <wp:cNvGraphicFramePr/>
                <a:graphic xmlns:a="http://schemas.openxmlformats.org/drawingml/2006/main">
                  <a:graphicData uri="http://schemas.microsoft.com/office/word/2010/wordprocessingShape">
                    <wps:wsp>
                      <wps:cNvCnPr/>
                      <wps:spPr>
                        <a:xfrm>
                          <a:off x="0" y="0"/>
                          <a:ext cx="9525" cy="257175"/>
                        </a:xfrm>
                        <a:prstGeom prst="line">
                          <a:avLst/>
                        </a:prstGeom>
                        <a:ln w="9525" cap="flat" cmpd="sng">
                          <a:solidFill>
                            <a:srgbClr val="000000"/>
                          </a:solidFill>
                          <a:prstDash val="solid"/>
                          <a:round/>
                          <a:headEnd type="none" w="med" len="med"/>
                          <a:tailEnd type="triangle" w="med" len="med"/>
                        </a:ln>
                      </wps:spPr>
                      <wps:bodyPr/>
                    </wps:wsp>
                  </a:graphicData>
                </a:graphic>
              </wp:anchor>
            </w:drawing>
          </mc:Choice>
          <mc:Fallback>
            <w:pict>
              <v:line id="直接连接符 3" o:spid="_x0000_s1026" o:spt="20" style="position:absolute;left:0pt;margin-left:65pt;margin-top:98.4pt;height:20.25pt;width:0.75pt;z-index:251659264;mso-width-relative:page;mso-height-relative:page;" filled="f" stroked="t" coordsize="21600,21600" o:gfxdata="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9d6GV2wAAAAsBAAAPAAAAAAAAAAEAIAAAACIAAABkcnMvZG93bnJldi54&#10;bWxQSwECFAAUAAAACACHTuJAlMy9fvcBAADrAwAADgAAAAAAAAABACAAAAAqAQAAZHJzL2Uyb0Rv&#10;Yy54bWxQSwUGAAAAAAYABgBZAQAAkwUAAAAA&#10;">
                <v:fill on="f" focussize="0,0"/>
                <v:stroke color="#000000" joinstyle="round" endarrow="block"/>
                <v:imagedata o:title=""/>
                <o:lock v:ext="edit" aspectratio="f"/>
              </v:line>
            </w:pict>
          </mc:Fallback>
        </mc:AlternateContent>
      </w:r>
      <w:r>
        <w:rPr>
          <w:rFonts w:ascii="Times New Roman" w:hAnsi="Times New Roman"/>
          <w:color w:val="000000"/>
          <w:sz w:val="32"/>
          <w:highlight w:val="none"/>
        </w:rPr>
        <mc:AlternateContent>
          <mc:Choice Requires="wps">
            <w:drawing>
              <wp:anchor distT="0" distB="0" distL="0" distR="0" simplePos="0" relativeHeight="251659264" behindDoc="0" locked="0" layoutInCell="1" allowOverlap="1">
                <wp:simplePos x="0" y="0"/>
                <wp:positionH relativeFrom="column">
                  <wp:posOffset>825500</wp:posOffset>
                </wp:positionH>
                <wp:positionV relativeFrom="paragraph">
                  <wp:posOffset>1249680</wp:posOffset>
                </wp:positionV>
                <wp:extent cx="3267075" cy="635"/>
                <wp:effectExtent l="0" t="0" r="0" b="0"/>
                <wp:wrapNone/>
                <wp:docPr id="1034" name="直接连接符 23"/>
                <wp:cNvGraphicFramePr/>
                <a:graphic xmlns:a="http://schemas.openxmlformats.org/drawingml/2006/main">
                  <a:graphicData uri="http://schemas.microsoft.com/office/word/2010/wordprocessingShape">
                    <wps:wsp>
                      <wps:cNvCnPr/>
                      <wps:spPr>
                        <a:xfrm>
                          <a:off x="0" y="0"/>
                          <a:ext cx="3267075" cy="635"/>
                        </a:xfrm>
                        <a:prstGeom prst="line">
                          <a:avLst/>
                        </a:prstGeom>
                        <a:ln w="9525" cap="flat" cmpd="sng">
                          <a:solidFill>
                            <a:srgbClr val="000000"/>
                          </a:solidFill>
                          <a:prstDash val="solid"/>
                          <a:round/>
                          <a:headEnd type="none" w="med" len="med"/>
                          <a:tailEnd type="none" w="med" len="med"/>
                        </a:ln>
                      </wps:spPr>
                      <wps:bodyPr/>
                    </wps:wsp>
                  </a:graphicData>
                </a:graphic>
              </wp:anchor>
            </w:drawing>
          </mc:Choice>
          <mc:Fallback>
            <w:pict>
              <v:line id="直接连接符 23" o:spid="_x0000_s1026" o:spt="20" style="position:absolute;left:0pt;margin-left:65pt;margin-top:98.4pt;height:0.05pt;width:257.25pt;z-index:251659264;mso-width-relative:page;mso-height-relative:page;" filled="f" stroked="t" coordsize="21600,21600" o:gfxdata="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Pk01EXXAAAACwEAAA8AAAAAAAAAAQAgAAAAIgAAAGRycy9kb3ducmV2LnhtbFBLAQIU&#10;ABQAAAAIAIdO4kB3oVmF9AEAAOgDAAAOAAAAAAAAAAEAIAAAACYBAABkcnMvZTJvRG9jLnhtbFBL&#10;BQYAAAAABgAGAFkBAACMBQAAAAA=&#10;">
                <v:fill on="f" focussize="0,0"/>
                <v:stroke color="#000000" joinstyle="round"/>
                <v:imagedata o:title=""/>
                <o:lock v:ext="edit" aspectratio="f"/>
              </v:line>
            </w:pict>
          </mc:Fallback>
        </mc:AlternateContent>
      </w:r>
      <w:r>
        <w:rPr>
          <w:rFonts w:hint="eastAsia" w:ascii="Times New Roman" w:hAnsi="Times New Roman" w:eastAsia="黑体" w:cs="黑体"/>
          <w:color w:val="000000"/>
          <w:sz w:val="32"/>
          <w:szCs w:val="32"/>
          <w:highlight w:val="none"/>
        </w:rPr>
        <mc:AlternateContent>
          <mc:Choice Requires="wps">
            <w:drawing>
              <wp:anchor distT="0" distB="0" distL="0" distR="0" simplePos="0" relativeHeight="251659264" behindDoc="0" locked="0" layoutInCell="1" allowOverlap="1">
                <wp:simplePos x="0" y="0"/>
                <wp:positionH relativeFrom="column">
                  <wp:posOffset>1554480</wp:posOffset>
                </wp:positionH>
                <wp:positionV relativeFrom="paragraph">
                  <wp:posOffset>44450</wp:posOffset>
                </wp:positionV>
                <wp:extent cx="1520190" cy="412115"/>
                <wp:effectExtent l="8255" t="4445" r="14605" b="21590"/>
                <wp:wrapNone/>
                <wp:docPr id="1035" name="流程图: 准备 26"/>
                <wp:cNvGraphicFramePr/>
                <a:graphic xmlns:a="http://schemas.openxmlformats.org/drawingml/2006/main">
                  <a:graphicData uri="http://schemas.microsoft.com/office/word/2010/wordprocessingShape">
                    <wps:wsp>
                      <wps:cNvSpPr/>
                      <wps:spPr>
                        <a:xfrm>
                          <a:off x="0" y="0"/>
                          <a:ext cx="1520190" cy="412115"/>
                        </a:xfrm>
                        <a:prstGeom prst="flowChartPreparation">
                          <a:avLst/>
                        </a:prstGeom>
                        <a:solidFill>
                          <a:srgbClr val="FFFFFF"/>
                        </a:solidFill>
                        <a:ln w="9525" cap="flat" cmpd="sng">
                          <a:solidFill>
                            <a:srgbClr val="000000"/>
                          </a:solidFill>
                          <a:prstDash val="solid"/>
                          <a:miter/>
                          <a:headEnd type="none" w="med" len="med"/>
                          <a:tailEnd type="none" w="med" len="med"/>
                        </a:ln>
                      </wps:spPr>
                      <wps:txbx>
                        <w:txbxContent>
                          <w:p w14:paraId="35963A02">
                            <w:pPr>
                              <w:keepNext w:val="0"/>
                              <w:keepLines w:val="0"/>
                              <w:pageBreakBefore w:val="0"/>
                              <w:widowControl w:val="0"/>
                              <w:kinsoku/>
                              <w:wordWrap/>
                              <w:overflowPunct/>
                              <w:topLinePunct w:val="0"/>
                              <w:autoSpaceDE/>
                              <w:autoSpaceDN/>
                              <w:bidi w:val="0"/>
                              <w:adjustRightInd/>
                              <w:snapToGrid/>
                              <w:spacing w:line="400" w:lineRule="exact"/>
                              <w:ind w:right="0" w:rightChars="0"/>
                              <w:jc w:val="both"/>
                              <w:textAlignment w:val="auto"/>
                              <w:outlineLvl w:val="9"/>
                              <w:rPr>
                                <w:rFonts w:hint="eastAsia"/>
                                <w:sz w:val="24"/>
                                <w:szCs w:val="24"/>
                              </w:rPr>
                            </w:pPr>
                            <w:r>
                              <w:rPr>
                                <w:rFonts w:hint="eastAsia"/>
                                <w:sz w:val="24"/>
                                <w:szCs w:val="24"/>
                              </w:rPr>
                              <w:t>验收准备</w:t>
                            </w:r>
                          </w:p>
                        </w:txbxContent>
                      </wps:txbx>
                      <wps:bodyPr upright="1"/>
                    </wps:wsp>
                  </a:graphicData>
                </a:graphic>
              </wp:anchor>
            </w:drawing>
          </mc:Choice>
          <mc:Fallback>
            <w:pict>
              <v:shape id="流程图: 准备 26" o:spid="_x0000_s1026" o:spt="117" type="#_x0000_t117" style="position:absolute;left:0pt;margin-left:122.4pt;margin-top:3.5pt;height:32.45pt;width:119.7pt;z-index:251659264;mso-width-relative:page;mso-height-relative:page;" fillcolor="#FFFFFF" filled="t" stroked="t" coordsize="21600,21600" o:gfxdata="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ATDBLH1QAAAAgB&#10;AAAPAAAAAAAAAAEAIAAAACIAAABkcnMvZG93bnJldi54bWxQSwECFAAUAAAACACHTuJA1se4uh4C&#10;AABIBAAADgAAAAAAAAABACAAAAAkAQAAZHJzL2Uyb0RvYy54bWxQSwUGAAAAAAYABgBZAQAAtAUA&#10;AAAA&#10;">
                <v:fill on="t" focussize="0,0"/>
                <v:stroke color="#000000" joinstyle="miter"/>
                <v:imagedata o:title=""/>
                <o:lock v:ext="edit" aspectratio="f"/>
                <v:textbox>
                  <w:txbxContent>
                    <w:p w14:paraId="35963A02">
                      <w:pPr>
                        <w:keepNext w:val="0"/>
                        <w:keepLines w:val="0"/>
                        <w:pageBreakBefore w:val="0"/>
                        <w:widowControl w:val="0"/>
                        <w:kinsoku/>
                        <w:wordWrap/>
                        <w:overflowPunct/>
                        <w:topLinePunct w:val="0"/>
                        <w:autoSpaceDE/>
                        <w:autoSpaceDN/>
                        <w:bidi w:val="0"/>
                        <w:adjustRightInd/>
                        <w:snapToGrid/>
                        <w:spacing w:line="400" w:lineRule="exact"/>
                        <w:ind w:right="0" w:rightChars="0"/>
                        <w:jc w:val="both"/>
                        <w:textAlignment w:val="auto"/>
                        <w:outlineLvl w:val="9"/>
                        <w:rPr>
                          <w:rFonts w:hint="eastAsia"/>
                          <w:sz w:val="24"/>
                          <w:szCs w:val="24"/>
                        </w:rPr>
                      </w:pPr>
                      <w:r>
                        <w:rPr>
                          <w:rFonts w:hint="eastAsia"/>
                          <w:sz w:val="24"/>
                          <w:szCs w:val="24"/>
                        </w:rPr>
                        <w:t>验收准备</w:t>
                      </w:r>
                    </w:p>
                  </w:txbxContent>
                </v:textbox>
              </v:shape>
            </w:pict>
          </mc:Fallback>
        </mc:AlternateContent>
      </w:r>
      <w:r>
        <w:rPr>
          <w:rFonts w:ascii="Times New Roman" w:hAnsi="Times New Roman"/>
          <w:color w:val="000000"/>
          <w:sz w:val="32"/>
          <w:highlight w:val="none"/>
        </w:rPr>
        <mc:AlternateContent>
          <mc:Choice Requires="wps">
            <w:drawing>
              <wp:anchor distT="0" distB="0" distL="0" distR="0" simplePos="0" relativeHeight="251659264" behindDoc="0" locked="0" layoutInCell="1" allowOverlap="1">
                <wp:simplePos x="0" y="0"/>
                <wp:positionH relativeFrom="column">
                  <wp:posOffset>2273300</wp:posOffset>
                </wp:positionH>
                <wp:positionV relativeFrom="paragraph">
                  <wp:posOffset>459105</wp:posOffset>
                </wp:positionV>
                <wp:extent cx="635" cy="228600"/>
                <wp:effectExtent l="37465" t="0" r="38100" b="0"/>
                <wp:wrapNone/>
                <wp:docPr id="1036" name="直接连接符 27"/>
                <wp:cNvGraphicFramePr/>
                <a:graphic xmlns:a="http://schemas.openxmlformats.org/drawingml/2006/main">
                  <a:graphicData uri="http://schemas.microsoft.com/office/word/2010/wordprocessingShape">
                    <wps:wsp>
                      <wps:cNvCnPr/>
                      <wps:spPr>
                        <a:xfrm>
                          <a:off x="0" y="0"/>
                          <a:ext cx="635" cy="228600"/>
                        </a:xfrm>
                        <a:prstGeom prst="line">
                          <a:avLst/>
                        </a:prstGeom>
                        <a:ln w="9525" cap="flat" cmpd="sng">
                          <a:solidFill>
                            <a:srgbClr val="000000"/>
                          </a:solidFill>
                          <a:prstDash val="solid"/>
                          <a:round/>
                          <a:headEnd type="none" w="med" len="med"/>
                          <a:tailEnd type="triangle" w="med" len="med"/>
                        </a:ln>
                      </wps:spPr>
                      <wps:bodyPr/>
                    </wps:wsp>
                  </a:graphicData>
                </a:graphic>
              </wp:anchor>
            </w:drawing>
          </mc:Choice>
          <mc:Fallback>
            <w:pict>
              <v:line id="直接连接符 27" o:spid="_x0000_s1026" o:spt="20" style="position:absolute;left:0pt;margin-left:179pt;margin-top:36.15pt;height:18pt;width:0.05pt;z-index:251659264;mso-width-relative:page;mso-height-relative:page;" filled="f" stroked="t" coordsize="21600,21600" o:gfxdata="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b6V6E2gAAAAoBAAAPAAAAAAAAAAEAIAAAACIAAABkcnMvZG93&#10;bnJldi54bWxQSwECFAAUAAAACACHTuJAjIGcUf4BAADrAwAADgAAAAAAAAABACAAAAApAQAAZHJz&#10;L2Uyb0RvYy54bWxQSwUGAAAAAAYABgBZAQAAmQUAAAAA&#10;">
                <v:fill on="f" focussize="0,0"/>
                <v:stroke color="#000000" joinstyle="round" endarrow="block"/>
                <v:imagedata o:title=""/>
                <o:lock v:ext="edit" aspectratio="f"/>
              </v:line>
            </w:pict>
          </mc:Fallback>
        </mc:AlternateContent>
      </w:r>
      <w:r>
        <w:rPr>
          <w:rFonts w:ascii="Times New Roman" w:hAnsi="Times New Roman"/>
          <w:color w:val="000000"/>
          <w:sz w:val="32"/>
          <w:highlight w:val="none"/>
        </w:rPr>
        <mc:AlternateContent>
          <mc:Choice Requires="wps">
            <w:drawing>
              <wp:anchor distT="0" distB="0" distL="0" distR="0" simplePos="0" relativeHeight="251659264" behindDoc="0" locked="0" layoutInCell="1" allowOverlap="1">
                <wp:simplePos x="0" y="0"/>
                <wp:positionH relativeFrom="column">
                  <wp:posOffset>5010785</wp:posOffset>
                </wp:positionH>
                <wp:positionV relativeFrom="paragraph">
                  <wp:posOffset>243205</wp:posOffset>
                </wp:positionV>
                <wp:extent cx="14605" cy="5095240"/>
                <wp:effectExtent l="4445" t="0" r="19050" b="10160"/>
                <wp:wrapNone/>
                <wp:docPr id="1037" name="直接连接符 28"/>
                <wp:cNvGraphicFramePr/>
                <a:graphic xmlns:a="http://schemas.openxmlformats.org/drawingml/2006/main">
                  <a:graphicData uri="http://schemas.microsoft.com/office/word/2010/wordprocessingShape">
                    <wps:wsp>
                      <wps:cNvCnPr/>
                      <wps:spPr>
                        <a:xfrm flipH="1" flipV="1">
                          <a:off x="0" y="0"/>
                          <a:ext cx="14604" cy="5095240"/>
                        </a:xfrm>
                        <a:prstGeom prst="line">
                          <a:avLst/>
                        </a:prstGeom>
                        <a:ln w="9525" cap="flat" cmpd="sng">
                          <a:solidFill>
                            <a:srgbClr val="000000"/>
                          </a:solidFill>
                          <a:prstDash val="solid"/>
                          <a:round/>
                          <a:headEnd type="none" w="med" len="med"/>
                          <a:tailEnd type="none" w="med" len="med"/>
                        </a:ln>
                      </wps:spPr>
                      <wps:bodyPr/>
                    </wps:wsp>
                  </a:graphicData>
                </a:graphic>
              </wp:anchor>
            </w:drawing>
          </mc:Choice>
          <mc:Fallback>
            <w:pict>
              <v:line id="直接连接符 28" o:spid="_x0000_s1026" o:spt="20" style="position:absolute;left:0pt;flip:x y;margin-left:394.55pt;margin-top:19.15pt;height:401.2pt;width:1.15pt;z-index:251659264;mso-width-relative:page;mso-height-relative:page;" filled="f" stroked="t" coordsize="21600,21600" o:gfxdata="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Hcp+v/WAAAACgEAAA8AAAAAAAAAAQAgAAAAIgAAAGRycy9k&#10;b3ducmV2LnhtbFBLAQIUABQAAAAIAIdO4kB2GgrzBAIAAP4DAAAOAAAAAAAAAAEAIAAAACUBAABk&#10;cnMvZTJvRG9jLnhtbFBLBQYAAAAABgAGAFkBAACbBQAAAAA=&#10;">
                <v:fill on="f" focussize="0,0"/>
                <v:stroke color="#000000" joinstyle="round"/>
                <v:imagedata o:title=""/>
                <o:lock v:ext="edit" aspectratio="f"/>
              </v:line>
            </w:pict>
          </mc:Fallback>
        </mc:AlternateContent>
      </w:r>
      <w:r>
        <w:rPr>
          <w:rFonts w:ascii="Times New Roman" w:hAnsi="Times New Roman"/>
          <w:color w:val="000000"/>
          <w:sz w:val="32"/>
          <w:highlight w:val="none"/>
        </w:rPr>
        <mc:AlternateContent>
          <mc:Choice Requires="wps">
            <w:drawing>
              <wp:anchor distT="0" distB="0" distL="0" distR="0" simplePos="0" relativeHeight="251659264" behindDoc="0" locked="0" layoutInCell="1" allowOverlap="1">
                <wp:simplePos x="0" y="0"/>
                <wp:positionH relativeFrom="column">
                  <wp:posOffset>3045460</wp:posOffset>
                </wp:positionH>
                <wp:positionV relativeFrom="paragraph">
                  <wp:posOffset>238760</wp:posOffset>
                </wp:positionV>
                <wp:extent cx="1955800" cy="10160"/>
                <wp:effectExtent l="0" t="37465" r="6350" b="28575"/>
                <wp:wrapNone/>
                <wp:docPr id="1038" name="直接连接符 29"/>
                <wp:cNvGraphicFramePr/>
                <a:graphic xmlns:a="http://schemas.openxmlformats.org/drawingml/2006/main">
                  <a:graphicData uri="http://schemas.microsoft.com/office/word/2010/wordprocessingShape">
                    <wps:wsp>
                      <wps:cNvCnPr/>
                      <wps:spPr>
                        <a:xfrm flipH="1" flipV="1">
                          <a:off x="0" y="0"/>
                          <a:ext cx="1955800" cy="10159"/>
                        </a:xfrm>
                        <a:prstGeom prst="line">
                          <a:avLst/>
                        </a:prstGeom>
                        <a:ln w="9525" cap="flat" cmpd="sng">
                          <a:solidFill>
                            <a:srgbClr val="000000"/>
                          </a:solidFill>
                          <a:prstDash val="solid"/>
                          <a:round/>
                          <a:headEnd type="none" w="med" len="med"/>
                          <a:tailEnd type="triangle" w="med" len="med"/>
                        </a:ln>
                      </wps:spPr>
                      <wps:bodyPr/>
                    </wps:wsp>
                  </a:graphicData>
                </a:graphic>
              </wp:anchor>
            </w:drawing>
          </mc:Choice>
          <mc:Fallback>
            <w:pict>
              <v:line id="直接连接符 29" o:spid="_x0000_s1026" o:spt="20" style="position:absolute;left:0pt;flip:x y;margin-left:239.8pt;margin-top:18.8pt;height:0.8pt;width:154pt;z-index:251659264;mso-width-relative:page;mso-height-relative:page;" filled="f" stroked="t" coordsize="21600,21600" o:gfxdata="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sH0dR2AAAAAkBAAAPAAAAAAAAAAEAIAAA&#10;ACIAAABkcnMvZG93bnJldi54bWxQSwECFAAUAAAACACHTuJAjRKqnwwCAAACBAAADgAAAAAAAAAB&#10;ACAAAAAnAQAAZHJzL2Uyb0RvYy54bWxQSwUGAAAAAAYABgBZAQAApQUAAAAA&#10;">
                <v:fill on="f" focussize="0,0"/>
                <v:stroke color="#000000" joinstyle="round" endarrow="block"/>
                <v:imagedata o:title=""/>
                <o:lock v:ext="edit" aspectratio="f"/>
              </v:line>
            </w:pict>
          </mc:Fallback>
        </mc:AlternateContent>
      </w:r>
      <w:r>
        <w:rPr>
          <w:rFonts w:ascii="Times New Roman" w:hAnsi="Times New Roman"/>
          <w:color w:val="000000"/>
          <w:sz w:val="32"/>
          <w:highlight w:val="none"/>
        </w:rPr>
        <mc:AlternateContent>
          <mc:Choice Requires="wps">
            <w:drawing>
              <wp:anchor distT="0" distB="0" distL="0" distR="0" simplePos="0" relativeHeight="251659264" behindDoc="0" locked="0" layoutInCell="1" allowOverlap="1">
                <wp:simplePos x="0" y="0"/>
                <wp:positionH relativeFrom="column">
                  <wp:posOffset>3771900</wp:posOffset>
                </wp:positionH>
                <wp:positionV relativeFrom="paragraph">
                  <wp:posOffset>4889500</wp:posOffset>
                </wp:positionV>
                <wp:extent cx="1092835" cy="320040"/>
                <wp:effectExtent l="0" t="0" r="12065" b="3810"/>
                <wp:wrapNone/>
                <wp:docPr id="1039" name="矩形 32"/>
                <wp:cNvGraphicFramePr/>
                <a:graphic xmlns:a="http://schemas.openxmlformats.org/drawingml/2006/main">
                  <a:graphicData uri="http://schemas.microsoft.com/office/word/2010/wordprocessingShape">
                    <wps:wsp>
                      <wps:cNvSpPr/>
                      <wps:spPr>
                        <a:xfrm>
                          <a:off x="0" y="0"/>
                          <a:ext cx="1092834" cy="320040"/>
                        </a:xfrm>
                        <a:prstGeom prst="rect">
                          <a:avLst/>
                        </a:prstGeom>
                        <a:solidFill>
                          <a:srgbClr val="FFFFFF"/>
                        </a:solidFill>
                        <a:ln>
                          <a:noFill/>
                        </a:ln>
                      </wps:spPr>
                      <wps:txbx>
                        <w:txbxContent>
                          <w:p w14:paraId="7E1A5CB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color w:val="000000"/>
                              </w:rPr>
                            </w:pPr>
                            <w:r>
                              <w:rPr>
                                <w:rFonts w:hint="eastAsia" w:ascii="仿宋" w:hAnsi="仿宋" w:eastAsia="仿宋" w:cs="仿宋"/>
                                <w:color w:val="000000"/>
                                <w:sz w:val="28"/>
                                <w:szCs w:val="28"/>
                              </w:rPr>
                              <w:t>不予通过</w:t>
                            </w:r>
                          </w:p>
                        </w:txbxContent>
                      </wps:txbx>
                      <wps:bodyPr upright="1"/>
                    </wps:wsp>
                  </a:graphicData>
                </a:graphic>
              </wp:anchor>
            </w:drawing>
          </mc:Choice>
          <mc:Fallback>
            <w:pict>
              <v:rect id="矩形 32" o:spid="_x0000_s1026" o:spt="1" style="position:absolute;left:0pt;margin-left:297pt;margin-top:385pt;height:25.2pt;width:86.05pt;z-index:251659264;mso-width-relative:page;mso-height-relative:page;" fillcolor="#FFFFFF" filled="t" stroked="f" coordsize="21600,21600" o:gfxdata="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JQ4lv7ZAAAACwEAAA8AAAAAAAAAAQAgAAAAIgAAAGRycy9kb3ducmV2LnhtbFBL&#10;AQIUABQAAAAIAIdO4kDtRbMJvAEAAG4DAAAOAAAAAAAAAAEAIAAAACgBAABkcnMvZTJvRG9jLnht&#10;bFBLBQYAAAAABgAGAFkBAABWBQAAAAA=&#10;">
                <v:fill on="t" focussize="0,0"/>
                <v:stroke on="f"/>
                <v:imagedata o:title=""/>
                <o:lock v:ext="edit" aspectratio="f"/>
                <v:textbox>
                  <w:txbxContent>
                    <w:p w14:paraId="7E1A5CB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color w:val="000000"/>
                        </w:rPr>
                      </w:pPr>
                      <w:r>
                        <w:rPr>
                          <w:rFonts w:hint="eastAsia" w:ascii="仿宋" w:hAnsi="仿宋" w:eastAsia="仿宋" w:cs="仿宋"/>
                          <w:color w:val="000000"/>
                          <w:sz w:val="28"/>
                          <w:szCs w:val="28"/>
                        </w:rPr>
                        <w:t>不予通过</w:t>
                      </w:r>
                    </w:p>
                  </w:txbxContent>
                </v:textbox>
              </v:rect>
            </w:pict>
          </mc:Fallback>
        </mc:AlternateContent>
      </w:r>
      <w:r>
        <w:rPr>
          <w:rFonts w:ascii="Times New Roman" w:hAnsi="Times New Roman"/>
          <w:color w:val="000000"/>
          <w:sz w:val="32"/>
          <w:highlight w:val="none"/>
        </w:rPr>
        <mc:AlternateContent>
          <mc:Choice Requires="wps">
            <w:drawing>
              <wp:anchor distT="0" distB="0" distL="0" distR="0" simplePos="0" relativeHeight="251659264" behindDoc="0" locked="0" layoutInCell="1" allowOverlap="1">
                <wp:simplePos x="0" y="0"/>
                <wp:positionH relativeFrom="column">
                  <wp:posOffset>1626235</wp:posOffset>
                </wp:positionH>
                <wp:positionV relativeFrom="paragraph">
                  <wp:posOffset>2204085</wp:posOffset>
                </wp:positionV>
                <wp:extent cx="1377950" cy="426720"/>
                <wp:effectExtent l="4445" t="4445" r="8255" b="6985"/>
                <wp:wrapNone/>
                <wp:docPr id="1040" name="流程图: 可选过程 33"/>
                <wp:cNvGraphicFramePr/>
                <a:graphic xmlns:a="http://schemas.openxmlformats.org/drawingml/2006/main">
                  <a:graphicData uri="http://schemas.microsoft.com/office/word/2010/wordprocessingShape">
                    <wps:wsp>
                      <wps:cNvSpPr/>
                      <wps:spPr>
                        <a:xfrm>
                          <a:off x="0" y="0"/>
                          <a:ext cx="1377950" cy="42672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7B660FF1">
                            <w:pPr>
                              <w:jc w:val="center"/>
                              <w:rPr>
                                <w:rFonts w:hint="eastAsia"/>
                                <w:sz w:val="24"/>
                                <w:szCs w:val="24"/>
                              </w:rPr>
                            </w:pPr>
                            <w:r>
                              <w:rPr>
                                <w:rFonts w:hint="eastAsia"/>
                                <w:sz w:val="24"/>
                                <w:szCs w:val="24"/>
                              </w:rPr>
                              <w:t>成立验收工作组</w:t>
                            </w:r>
                          </w:p>
                        </w:txbxContent>
                      </wps:txbx>
                      <wps:bodyPr upright="1"/>
                    </wps:wsp>
                  </a:graphicData>
                </a:graphic>
              </wp:anchor>
            </w:drawing>
          </mc:Choice>
          <mc:Fallback>
            <w:pict>
              <v:shape id="流程图: 可选过程 33" o:spid="_x0000_s1026" o:spt="176" type="#_x0000_t176" style="position:absolute;left:0pt;margin-left:128.05pt;margin-top:173.55pt;height:33.6pt;width:108.5pt;z-index:251659264;mso-width-relative:page;mso-height-relative:page;" fillcolor="#FFFFFF" filled="t" stroked="t" coordsize="21600,21600" o:gfxdata="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Jhh+4tgAAAALAQAADwAAAAAAAAABACAAAAAiAAAAZHJzL2Rvd25yZXYueG1sUEsB&#10;AhQAFAAAAAgAh07iQERsdaIuAgAAUwQAAA4AAAAAAAAAAQAgAAAAJwEAAGRycy9lMm9Eb2MueG1s&#10;UEsFBgAAAAAGAAYAWQEAAMcFAAAAAA==&#10;">
                <v:fill on="t" focussize="0,0"/>
                <v:stroke color="#000000" joinstyle="miter"/>
                <v:imagedata o:title=""/>
                <o:lock v:ext="edit" aspectratio="f"/>
                <v:textbox>
                  <w:txbxContent>
                    <w:p w14:paraId="7B660FF1">
                      <w:pPr>
                        <w:jc w:val="center"/>
                        <w:rPr>
                          <w:rFonts w:hint="eastAsia"/>
                          <w:sz w:val="24"/>
                          <w:szCs w:val="24"/>
                        </w:rPr>
                      </w:pPr>
                      <w:r>
                        <w:rPr>
                          <w:rFonts w:hint="eastAsia"/>
                          <w:sz w:val="24"/>
                          <w:szCs w:val="24"/>
                        </w:rPr>
                        <w:t>成立验收工作组</w:t>
                      </w:r>
                    </w:p>
                  </w:txbxContent>
                </v:textbox>
              </v:shape>
            </w:pict>
          </mc:Fallback>
        </mc:AlternateContent>
      </w:r>
      <w:r>
        <w:rPr>
          <w:rFonts w:ascii="Times New Roman" w:hAnsi="Times New Roman"/>
          <w:color w:val="000000"/>
          <w:sz w:val="32"/>
          <w:highlight w:val="none"/>
        </w:rPr>
        <mc:AlternateContent>
          <mc:Choice Requires="wps">
            <w:drawing>
              <wp:anchor distT="0" distB="0" distL="0" distR="0" simplePos="0" relativeHeight="251659264" behindDoc="0" locked="0" layoutInCell="1" allowOverlap="1">
                <wp:simplePos x="0" y="0"/>
                <wp:positionH relativeFrom="column">
                  <wp:posOffset>2263775</wp:posOffset>
                </wp:positionH>
                <wp:positionV relativeFrom="paragraph">
                  <wp:posOffset>1107440</wp:posOffset>
                </wp:positionV>
                <wp:extent cx="635" cy="345440"/>
                <wp:effectExtent l="38100" t="0" r="37465" b="16510"/>
                <wp:wrapNone/>
                <wp:docPr id="1041" name="直接连接符 34"/>
                <wp:cNvGraphicFramePr/>
                <a:graphic xmlns:a="http://schemas.openxmlformats.org/drawingml/2006/main">
                  <a:graphicData uri="http://schemas.microsoft.com/office/word/2010/wordprocessingShape">
                    <wps:wsp>
                      <wps:cNvCnPr/>
                      <wps:spPr>
                        <a:xfrm flipH="1">
                          <a:off x="0" y="0"/>
                          <a:ext cx="635" cy="345439"/>
                        </a:xfrm>
                        <a:prstGeom prst="line">
                          <a:avLst/>
                        </a:prstGeom>
                        <a:ln w="9525" cap="flat" cmpd="sng">
                          <a:solidFill>
                            <a:srgbClr val="000000"/>
                          </a:solidFill>
                          <a:prstDash val="solid"/>
                          <a:round/>
                          <a:headEnd type="none" w="med" len="med"/>
                          <a:tailEnd type="triangle" w="med" len="med"/>
                        </a:ln>
                      </wps:spPr>
                      <wps:bodyPr/>
                    </wps:wsp>
                  </a:graphicData>
                </a:graphic>
              </wp:anchor>
            </w:drawing>
          </mc:Choice>
          <mc:Fallback>
            <w:pict>
              <v:line id="直接连接符 34" o:spid="_x0000_s1026" o:spt="20" style="position:absolute;left:0pt;flip:x;margin-left:178.25pt;margin-top:87.2pt;height:27.2pt;width:0.05pt;z-index:251659264;mso-width-relative:page;mso-height-relative:page;" filled="f" stroked="t" coordsize="21600,21600" o:gfxdata="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WjkuoNoAAAALAQAADwAAAAAAAAABACAAAAAiAAAAZHJz&#10;L2Rvd25yZXYueG1sUEsBAhQAFAAAAAgAh07iQI8N6HECAgAA9QMAAA4AAAAAAAAAAQAgAAAAKQEA&#10;AGRycy9lMm9Eb2MueG1sUEsFBgAAAAAGAAYAWQEAAJ0FAAAAAA==&#10;">
                <v:fill on="f" focussize="0,0"/>
                <v:stroke color="#000000" joinstyle="round" endarrow="block"/>
                <v:imagedata o:title=""/>
                <o:lock v:ext="edit" aspectratio="f"/>
              </v:line>
            </w:pict>
          </mc:Fallback>
        </mc:AlternateContent>
      </w:r>
      <w:r>
        <w:rPr>
          <w:rFonts w:ascii="Times New Roman" w:hAnsi="Times New Roman"/>
          <w:color w:val="000000"/>
          <w:sz w:val="32"/>
          <w:highlight w:val="none"/>
        </w:rPr>
        <mc:AlternateContent>
          <mc:Choice Requires="wps">
            <w:drawing>
              <wp:anchor distT="0" distB="0" distL="0" distR="0" simplePos="0" relativeHeight="251659264" behindDoc="0" locked="0" layoutInCell="1" allowOverlap="1">
                <wp:simplePos x="0" y="0"/>
                <wp:positionH relativeFrom="column">
                  <wp:posOffset>3425190</wp:posOffset>
                </wp:positionH>
                <wp:positionV relativeFrom="paragraph">
                  <wp:posOffset>5327015</wp:posOffset>
                </wp:positionV>
                <wp:extent cx="1600835" cy="12065"/>
                <wp:effectExtent l="0" t="4445" r="18415" b="12065"/>
                <wp:wrapNone/>
                <wp:docPr id="1042" name="直接连接符 36"/>
                <wp:cNvGraphicFramePr/>
                <a:graphic xmlns:a="http://schemas.openxmlformats.org/drawingml/2006/main">
                  <a:graphicData uri="http://schemas.microsoft.com/office/word/2010/wordprocessingShape">
                    <wps:wsp>
                      <wps:cNvCnPr/>
                      <wps:spPr>
                        <a:xfrm>
                          <a:off x="0" y="0"/>
                          <a:ext cx="1600834" cy="12065"/>
                        </a:xfrm>
                        <a:prstGeom prst="line">
                          <a:avLst/>
                        </a:prstGeom>
                        <a:ln w="9525" cap="flat" cmpd="sng">
                          <a:solidFill>
                            <a:srgbClr val="000000"/>
                          </a:solidFill>
                          <a:prstDash val="solid"/>
                          <a:round/>
                          <a:headEnd type="none" w="med" len="med"/>
                          <a:tailEnd type="none" w="med" len="med"/>
                        </a:ln>
                      </wps:spPr>
                      <wps:bodyPr/>
                    </wps:wsp>
                  </a:graphicData>
                </a:graphic>
              </wp:anchor>
            </w:drawing>
          </mc:Choice>
          <mc:Fallback>
            <w:pict>
              <v:line id="直接连接符 36" o:spid="_x0000_s1026" o:spt="20" style="position:absolute;left:0pt;margin-left:269.7pt;margin-top:419.45pt;height:0.95pt;width:126.05pt;z-index:251659264;mso-width-relative:page;mso-height-relative:page;" filled="f" stroked="t" coordsize="21600,21600" o:gfxdata="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IH7/MLaAAAACwEAAA8AAAAAAAAAAQAgAAAAIgAAAGRycy9kb3ducmV2Lnht&#10;bFBLAQIUABQAAAAIAIdO4kAPGzEn9wEAAOoDAAAOAAAAAAAAAAEAIAAAACkBAABkcnMvZTJvRG9j&#10;LnhtbFBLBQYAAAAABgAGAFkBAACSBQAAAAA=&#10;">
                <v:fill on="f" focussize="0,0"/>
                <v:stroke color="#000000" joinstyle="round"/>
                <v:imagedata o:title=""/>
                <o:lock v:ext="edit" aspectratio="f"/>
              </v:line>
            </w:pict>
          </mc:Fallback>
        </mc:AlternateContent>
      </w:r>
      <w:r>
        <w:rPr>
          <w:rFonts w:ascii="Times New Roman" w:hAnsi="Times New Roman"/>
          <w:color w:val="000000"/>
          <w:sz w:val="32"/>
          <w:highlight w:val="none"/>
        </w:rPr>
        <mc:AlternateContent>
          <mc:Choice Requires="wps">
            <w:drawing>
              <wp:anchor distT="0" distB="0" distL="0" distR="0" simplePos="0" relativeHeight="251659264" behindDoc="0" locked="0" layoutInCell="1" allowOverlap="1">
                <wp:simplePos x="0" y="0"/>
                <wp:positionH relativeFrom="column">
                  <wp:posOffset>2254250</wp:posOffset>
                </wp:positionH>
                <wp:positionV relativeFrom="paragraph">
                  <wp:posOffset>6491605</wp:posOffset>
                </wp:positionV>
                <wp:extent cx="635" cy="314325"/>
                <wp:effectExtent l="37465" t="0" r="38100" b="9525"/>
                <wp:wrapNone/>
                <wp:docPr id="1043" name="直接连接符 37"/>
                <wp:cNvGraphicFramePr/>
                <a:graphic xmlns:a="http://schemas.openxmlformats.org/drawingml/2006/main">
                  <a:graphicData uri="http://schemas.microsoft.com/office/word/2010/wordprocessingShape">
                    <wps:wsp>
                      <wps:cNvCnPr/>
                      <wps:spPr>
                        <a:xfrm>
                          <a:off x="0" y="0"/>
                          <a:ext cx="635" cy="314325"/>
                        </a:xfrm>
                        <a:prstGeom prst="line">
                          <a:avLst/>
                        </a:prstGeom>
                        <a:ln w="9525" cap="flat" cmpd="sng">
                          <a:solidFill>
                            <a:srgbClr val="000000"/>
                          </a:solidFill>
                          <a:prstDash val="solid"/>
                          <a:round/>
                          <a:headEnd type="none" w="med" len="med"/>
                          <a:tailEnd type="triangle" w="med" len="med"/>
                        </a:ln>
                      </wps:spPr>
                      <wps:bodyPr/>
                    </wps:wsp>
                  </a:graphicData>
                </a:graphic>
              </wp:anchor>
            </w:drawing>
          </mc:Choice>
          <mc:Fallback>
            <w:pict>
              <v:line id="直接连接符 37" o:spid="_x0000_s1026" o:spt="20" style="position:absolute;left:0pt;margin-left:177.5pt;margin-top:511.15pt;height:24.75pt;width:0.05pt;z-index:251659264;mso-width-relative:page;mso-height-relative:page;" filled="f" stroked="t" coordsize="21600,21600" o:gfxdata="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A5XCtTbAAAADQEAAA8AAAAAAAAAAQAgAAAAIgAAAGRycy9kb3du&#10;cmV2LnhtbFBLAQIUABQAAAAIAIdO4kAaXX1p/AEAAOsDAAAOAAAAAAAAAAEAIAAAACoBAABkcnMv&#10;ZTJvRG9jLnhtbFBLBQYAAAAABgAGAFkBAACYBQAAAAA=&#10;">
                <v:fill on="f" focussize="0,0"/>
                <v:stroke color="#000000" joinstyle="round" endarrow="block"/>
                <v:imagedata o:title=""/>
                <o:lock v:ext="edit" aspectratio="f"/>
              </v:line>
            </w:pict>
          </mc:Fallback>
        </mc:AlternateContent>
      </w:r>
      <w:r>
        <w:rPr>
          <w:rFonts w:ascii="Times New Roman" w:hAnsi="Times New Roman"/>
          <w:color w:val="000000"/>
          <w:sz w:val="32"/>
          <w:highlight w:val="none"/>
        </w:rPr>
        <mc:AlternateContent>
          <mc:Choice Requires="wps">
            <w:drawing>
              <wp:anchor distT="0" distB="0" distL="0" distR="0" simplePos="0" relativeHeight="251659264" behindDoc="0" locked="0" layoutInCell="1" allowOverlap="1">
                <wp:simplePos x="0" y="0"/>
                <wp:positionH relativeFrom="column">
                  <wp:posOffset>2254885</wp:posOffset>
                </wp:positionH>
                <wp:positionV relativeFrom="paragraph">
                  <wp:posOffset>5628005</wp:posOffset>
                </wp:positionV>
                <wp:extent cx="8255" cy="444500"/>
                <wp:effectExtent l="36830" t="0" r="31115" b="12700"/>
                <wp:wrapNone/>
                <wp:docPr id="1044" name="直接连接符 38"/>
                <wp:cNvGraphicFramePr/>
                <a:graphic xmlns:a="http://schemas.openxmlformats.org/drawingml/2006/main">
                  <a:graphicData uri="http://schemas.microsoft.com/office/word/2010/wordprocessingShape">
                    <wps:wsp>
                      <wps:cNvCnPr/>
                      <wps:spPr>
                        <a:xfrm flipH="1">
                          <a:off x="0" y="0"/>
                          <a:ext cx="8254" cy="444500"/>
                        </a:xfrm>
                        <a:prstGeom prst="line">
                          <a:avLst/>
                        </a:prstGeom>
                        <a:ln w="9525" cap="flat" cmpd="sng">
                          <a:solidFill>
                            <a:srgbClr val="000000"/>
                          </a:solidFill>
                          <a:prstDash val="solid"/>
                          <a:round/>
                          <a:headEnd type="none" w="med" len="med"/>
                          <a:tailEnd type="triangle" w="med" len="med"/>
                        </a:ln>
                      </wps:spPr>
                      <wps:bodyPr/>
                    </wps:wsp>
                  </a:graphicData>
                </a:graphic>
              </wp:anchor>
            </w:drawing>
          </mc:Choice>
          <mc:Fallback>
            <w:pict>
              <v:line id="直接连接符 38" o:spid="_x0000_s1026" o:spt="20" style="position:absolute;left:0pt;flip:x;margin-left:177.55pt;margin-top:443.15pt;height:35pt;width:0.65pt;z-index:251659264;mso-width-relative:page;mso-height-relative:page;" filled="f" stroked="t" coordsize="21600,21600" o:gfxdata="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OaPOmzaAAAACwEAAA8AAAAAAAAAAQAgAAAAIgAA&#10;AGRycy9kb3ducmV2LnhtbFBLAQIUABQAAAAIAIdO4kAUjq4lBgIAAPYDAAAOAAAAAAAAAAEAIAAA&#10;ACkBAABkcnMvZTJvRG9jLnhtbFBLBQYAAAAABgAGAFkBAAChBQAAAAA=&#10;">
                <v:fill on="f" focussize="0,0"/>
                <v:stroke color="#000000" joinstyle="round" endarrow="block"/>
                <v:imagedata o:title=""/>
                <o:lock v:ext="edit" aspectratio="f"/>
              </v:line>
            </w:pict>
          </mc:Fallback>
        </mc:AlternateContent>
      </w:r>
      <w:r>
        <w:rPr>
          <w:rFonts w:ascii="Times New Roman" w:hAnsi="Times New Roman"/>
          <w:color w:val="000000"/>
          <w:sz w:val="32"/>
          <w:highlight w:val="none"/>
        </w:rPr>
        <mc:AlternateContent>
          <mc:Choice Requires="wps">
            <w:drawing>
              <wp:anchor distT="0" distB="0" distL="0" distR="0" simplePos="0" relativeHeight="251659264" behindDoc="0" locked="0" layoutInCell="1" allowOverlap="1">
                <wp:simplePos x="0" y="0"/>
                <wp:positionH relativeFrom="column">
                  <wp:posOffset>2273300</wp:posOffset>
                </wp:positionH>
                <wp:positionV relativeFrom="paragraph">
                  <wp:posOffset>4605655</wp:posOffset>
                </wp:positionV>
                <wp:extent cx="635" cy="476250"/>
                <wp:effectExtent l="37465" t="0" r="38100" b="0"/>
                <wp:wrapNone/>
                <wp:docPr id="1045" name="直接连接符 39"/>
                <wp:cNvGraphicFramePr/>
                <a:graphic xmlns:a="http://schemas.openxmlformats.org/drawingml/2006/main">
                  <a:graphicData uri="http://schemas.microsoft.com/office/word/2010/wordprocessingShape">
                    <wps:wsp>
                      <wps:cNvCnPr/>
                      <wps:spPr>
                        <a:xfrm>
                          <a:off x="0" y="0"/>
                          <a:ext cx="635" cy="476249"/>
                        </a:xfrm>
                        <a:prstGeom prst="line">
                          <a:avLst/>
                        </a:prstGeom>
                        <a:ln w="9525" cap="flat" cmpd="sng">
                          <a:solidFill>
                            <a:srgbClr val="000000"/>
                          </a:solidFill>
                          <a:prstDash val="solid"/>
                          <a:round/>
                          <a:headEnd type="none" w="med" len="med"/>
                          <a:tailEnd type="triangle" w="med" len="med"/>
                        </a:ln>
                      </wps:spPr>
                      <wps:bodyPr/>
                    </wps:wsp>
                  </a:graphicData>
                </a:graphic>
              </wp:anchor>
            </w:drawing>
          </mc:Choice>
          <mc:Fallback>
            <w:pict>
              <v:line id="直接连接符 39" o:spid="_x0000_s1026" o:spt="20" style="position:absolute;left:0pt;margin-left:179pt;margin-top:362.65pt;height:37.5pt;width:0.05pt;z-index:251659264;mso-width-relative:page;mso-height-relative:page;" filled="f" stroked="t" coordsize="21600,21600" o:gfxdata="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MRIwJtsAAAALAQAADwAAAAAAAAABACAAAAAiAAAAZHJzL2Rv&#10;d25yZXYueG1sUEsBAhQAFAAAAAgAh07iQAam0F3+AQAA6wMAAA4AAAAAAAAAAQAgAAAAKgEAAGRy&#10;cy9lMm9Eb2MueG1sUEsFBgAAAAAGAAYAWQEAAJoFAAAAAA==&#10;">
                <v:fill on="f" focussize="0,0"/>
                <v:stroke color="#000000" joinstyle="round" endarrow="block"/>
                <v:imagedata o:title=""/>
                <o:lock v:ext="edit" aspectratio="f"/>
              </v:line>
            </w:pict>
          </mc:Fallback>
        </mc:AlternateContent>
      </w:r>
      <w:r>
        <w:rPr>
          <w:rFonts w:ascii="Times New Roman" w:hAnsi="Times New Roman"/>
          <w:color w:val="000000"/>
          <w:sz w:val="32"/>
          <w:highlight w:val="none"/>
        </w:rPr>
        <mc:AlternateContent>
          <mc:Choice Requires="wps">
            <w:drawing>
              <wp:anchor distT="0" distB="0" distL="0" distR="0" simplePos="0" relativeHeight="251659264" behindDoc="0" locked="0" layoutInCell="1" allowOverlap="1">
                <wp:simplePos x="0" y="0"/>
                <wp:positionH relativeFrom="column">
                  <wp:posOffset>2282825</wp:posOffset>
                </wp:positionH>
                <wp:positionV relativeFrom="paragraph">
                  <wp:posOffset>3986530</wp:posOffset>
                </wp:positionV>
                <wp:extent cx="635" cy="247650"/>
                <wp:effectExtent l="37465" t="0" r="38100" b="0"/>
                <wp:wrapNone/>
                <wp:docPr id="1046" name="直接连接符 40"/>
                <wp:cNvGraphicFramePr/>
                <a:graphic xmlns:a="http://schemas.openxmlformats.org/drawingml/2006/main">
                  <a:graphicData uri="http://schemas.microsoft.com/office/word/2010/wordprocessingShape">
                    <wps:wsp>
                      <wps:cNvCnPr/>
                      <wps:spPr>
                        <a:xfrm>
                          <a:off x="0" y="0"/>
                          <a:ext cx="635" cy="247650"/>
                        </a:xfrm>
                        <a:prstGeom prst="line">
                          <a:avLst/>
                        </a:prstGeom>
                        <a:ln w="9525" cap="flat" cmpd="sng">
                          <a:solidFill>
                            <a:srgbClr val="000000"/>
                          </a:solidFill>
                          <a:prstDash val="solid"/>
                          <a:round/>
                          <a:headEnd type="none" w="med" len="med"/>
                          <a:tailEnd type="triangle" w="med" len="med"/>
                        </a:ln>
                      </wps:spPr>
                      <wps:bodyPr/>
                    </wps:wsp>
                  </a:graphicData>
                </a:graphic>
              </wp:anchor>
            </w:drawing>
          </mc:Choice>
          <mc:Fallback>
            <w:pict>
              <v:line id="直接连接符 40" o:spid="_x0000_s1026" o:spt="20" style="position:absolute;left:0pt;margin-left:179.75pt;margin-top:313.9pt;height:19.5pt;width:0.05pt;z-index:251659264;mso-width-relative:page;mso-height-relative:page;" filled="f" stroked="t" coordsize="21600,21600" o:gfxdata="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3kJhidoAAAALAQAADwAAAAAAAAABACAAAAAiAAAAZHJzL2Rvd25y&#10;ZXYueG1sUEsBAhQAFAAAAAgAh07iQNptMcb8AQAA6wMAAA4AAAAAAAAAAQAgAAAAKQEAAGRycy9l&#10;Mm9Eb2MueG1sUEsFBgAAAAAGAAYAWQEAAJcFAAAAAA==&#10;">
                <v:fill on="f" focussize="0,0"/>
                <v:stroke color="#000000" joinstyle="round" endarrow="block"/>
                <v:imagedata o:title=""/>
                <o:lock v:ext="edit" aspectratio="f"/>
              </v:line>
            </w:pict>
          </mc:Fallback>
        </mc:AlternateContent>
      </w:r>
      <w:r>
        <w:rPr>
          <w:rFonts w:ascii="Times New Roman" w:hAnsi="Times New Roman"/>
          <w:color w:val="000000"/>
          <w:sz w:val="32"/>
          <w:highlight w:val="none"/>
        </w:rPr>
        <mc:AlternateContent>
          <mc:Choice Requires="wps">
            <w:drawing>
              <wp:anchor distT="0" distB="0" distL="0" distR="0" simplePos="0" relativeHeight="251659264" behindDoc="0" locked="0" layoutInCell="1" allowOverlap="1">
                <wp:simplePos x="0" y="0"/>
                <wp:positionH relativeFrom="column">
                  <wp:posOffset>2282825</wp:posOffset>
                </wp:positionH>
                <wp:positionV relativeFrom="paragraph">
                  <wp:posOffset>3259455</wp:posOffset>
                </wp:positionV>
                <wp:extent cx="635" cy="333375"/>
                <wp:effectExtent l="37465" t="0" r="38100" b="9525"/>
                <wp:wrapNone/>
                <wp:docPr id="1047" name="直接连接符 41"/>
                <wp:cNvGraphicFramePr/>
                <a:graphic xmlns:a="http://schemas.openxmlformats.org/drawingml/2006/main">
                  <a:graphicData uri="http://schemas.microsoft.com/office/word/2010/wordprocessingShape">
                    <wps:wsp>
                      <wps:cNvCnPr/>
                      <wps:spPr>
                        <a:xfrm>
                          <a:off x="0" y="0"/>
                          <a:ext cx="635" cy="333375"/>
                        </a:xfrm>
                        <a:prstGeom prst="line">
                          <a:avLst/>
                        </a:prstGeom>
                        <a:ln w="9525" cap="flat" cmpd="sng">
                          <a:solidFill>
                            <a:srgbClr val="000000"/>
                          </a:solidFill>
                          <a:prstDash val="solid"/>
                          <a:round/>
                          <a:headEnd type="none" w="med" len="med"/>
                          <a:tailEnd type="triangle" w="med" len="med"/>
                        </a:ln>
                      </wps:spPr>
                      <wps:bodyPr/>
                    </wps:wsp>
                  </a:graphicData>
                </a:graphic>
              </wp:anchor>
            </w:drawing>
          </mc:Choice>
          <mc:Fallback>
            <w:pict>
              <v:line id="直接连接符 41" o:spid="_x0000_s1026" o:spt="20" style="position:absolute;left:0pt;margin-left:179.75pt;margin-top:256.65pt;height:26.25pt;width:0.05pt;z-index:251659264;mso-width-relative:page;mso-height-relative:page;" filled="f" stroked="t" coordsize="21600,21600" o:gfxdata="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HJh4DvaAAAACwEAAA8AAAAAAAAAAQAgAAAAIgAAAGRycy9kb3ducmV2&#10;LnhtbFBLAQIUABQAAAAIAIdO4kBYb81Z+gEAAOsDAAAOAAAAAAAAAAEAIAAAACkBAABkcnMvZTJv&#10;RG9jLnhtbFBLBQYAAAAABgAGAFkBAACVBQAAAAA=&#10;">
                <v:fill on="f" focussize="0,0"/>
                <v:stroke color="#000000" joinstyle="round" endarrow="block"/>
                <v:imagedata o:title=""/>
                <o:lock v:ext="edit" aspectratio="f"/>
              </v:line>
            </w:pict>
          </mc:Fallback>
        </mc:AlternateContent>
      </w:r>
      <w:r>
        <w:rPr>
          <w:rFonts w:ascii="Times New Roman" w:hAnsi="Times New Roman"/>
          <w:color w:val="000000"/>
          <w:sz w:val="32"/>
          <w:highlight w:val="none"/>
        </w:rPr>
        <mc:AlternateContent>
          <mc:Choice Requires="wps">
            <w:drawing>
              <wp:anchor distT="0" distB="0" distL="0" distR="0" simplePos="0" relativeHeight="251659264" behindDoc="0" locked="0" layoutInCell="1" allowOverlap="1">
                <wp:simplePos x="0" y="0"/>
                <wp:positionH relativeFrom="column">
                  <wp:posOffset>2292350</wp:posOffset>
                </wp:positionH>
                <wp:positionV relativeFrom="paragraph">
                  <wp:posOffset>2631440</wp:posOffset>
                </wp:positionV>
                <wp:extent cx="635" cy="288925"/>
                <wp:effectExtent l="37465" t="0" r="38100" b="15875"/>
                <wp:wrapNone/>
                <wp:docPr id="1048" name="直接连接符 42"/>
                <wp:cNvGraphicFramePr/>
                <a:graphic xmlns:a="http://schemas.openxmlformats.org/drawingml/2006/main">
                  <a:graphicData uri="http://schemas.microsoft.com/office/word/2010/wordprocessingShape">
                    <wps:wsp>
                      <wps:cNvCnPr/>
                      <wps:spPr>
                        <a:xfrm>
                          <a:off x="0" y="0"/>
                          <a:ext cx="635" cy="288925"/>
                        </a:xfrm>
                        <a:prstGeom prst="line">
                          <a:avLst/>
                        </a:prstGeom>
                        <a:ln w="9525" cap="flat" cmpd="sng">
                          <a:solidFill>
                            <a:srgbClr val="000000"/>
                          </a:solidFill>
                          <a:prstDash val="solid"/>
                          <a:round/>
                          <a:headEnd type="none" w="med" len="med"/>
                          <a:tailEnd type="triangle" w="med" len="med"/>
                        </a:ln>
                      </wps:spPr>
                      <wps:bodyPr/>
                    </wps:wsp>
                  </a:graphicData>
                </a:graphic>
              </wp:anchor>
            </w:drawing>
          </mc:Choice>
          <mc:Fallback>
            <w:pict>
              <v:line id="直接连接符 42" o:spid="_x0000_s1026" o:spt="20" style="position:absolute;left:0pt;margin-left:180.5pt;margin-top:207.2pt;height:22.75pt;width:0.05pt;z-index:251659264;mso-width-relative:page;mso-height-relative:page;" filled="f" stroked="t" coordsize="21600,21600" o:gfxdata="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O++PtDbAAAACwEAAA8AAAAAAAAAAQAgAAAAIgAAAGRycy9kb3du&#10;cmV2LnhtbFBLAQIUABQAAAAIAIdO4kBDE/rL/AEAAOsDAAAOAAAAAAAAAAEAIAAAACoBAABkcnMv&#10;ZTJvRG9jLnhtbFBLBQYAAAAABgAGAFkBAACYBQAAAAA=&#10;">
                <v:fill on="f" focussize="0,0"/>
                <v:stroke color="#000000" joinstyle="round" endarrow="block"/>
                <v:imagedata o:title=""/>
                <o:lock v:ext="edit" aspectratio="f"/>
              </v:line>
            </w:pict>
          </mc:Fallback>
        </mc:AlternateContent>
      </w:r>
      <w:r>
        <w:rPr>
          <w:rFonts w:ascii="Times New Roman" w:hAnsi="Times New Roman"/>
          <w:color w:val="000000"/>
          <w:sz w:val="32"/>
          <w:highlight w:val="none"/>
        </w:rPr>
        <mc:AlternateContent>
          <mc:Choice Requires="wps">
            <w:drawing>
              <wp:anchor distT="0" distB="0" distL="0" distR="0" simplePos="0" relativeHeight="251659264" behindDoc="0" locked="0" layoutInCell="1" allowOverlap="1">
                <wp:simplePos x="0" y="0"/>
                <wp:positionH relativeFrom="column">
                  <wp:posOffset>2263775</wp:posOffset>
                </wp:positionH>
                <wp:positionV relativeFrom="paragraph">
                  <wp:posOffset>1907540</wp:posOffset>
                </wp:positionV>
                <wp:extent cx="635" cy="345440"/>
                <wp:effectExtent l="38100" t="0" r="37465" b="16510"/>
                <wp:wrapNone/>
                <wp:docPr id="1049" name="直接连接符 43"/>
                <wp:cNvGraphicFramePr/>
                <a:graphic xmlns:a="http://schemas.openxmlformats.org/drawingml/2006/main">
                  <a:graphicData uri="http://schemas.microsoft.com/office/word/2010/wordprocessingShape">
                    <wps:wsp>
                      <wps:cNvCnPr/>
                      <wps:spPr>
                        <a:xfrm flipH="1">
                          <a:off x="0" y="0"/>
                          <a:ext cx="635" cy="345439"/>
                        </a:xfrm>
                        <a:prstGeom prst="line">
                          <a:avLst/>
                        </a:prstGeom>
                        <a:ln w="9525" cap="flat" cmpd="sng">
                          <a:solidFill>
                            <a:srgbClr val="000000"/>
                          </a:solidFill>
                          <a:prstDash val="solid"/>
                          <a:round/>
                          <a:headEnd type="none" w="med" len="med"/>
                          <a:tailEnd type="triangle" w="med" len="med"/>
                        </a:ln>
                      </wps:spPr>
                      <wps:bodyPr/>
                    </wps:wsp>
                  </a:graphicData>
                </a:graphic>
              </wp:anchor>
            </w:drawing>
          </mc:Choice>
          <mc:Fallback>
            <w:pict>
              <v:line id="直接连接符 43" o:spid="_x0000_s1026" o:spt="20" style="position:absolute;left:0pt;flip:x;margin-left:178.25pt;margin-top:150.2pt;height:27.2pt;width:0.05pt;z-index:251659264;mso-width-relative:page;mso-height-relative:page;" filled="f" stroked="t" coordsize="21600,21600" o:gfxdata="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zDVHh2QAAAAsBAAAPAAAAAAAAAAEAIAAAACIAAABkcnMv&#10;ZG93bnJldi54bWxQSwECFAAUAAAACACHTuJArODDNgICAAD1AwAADgAAAAAAAAABACAAAAAoAQAA&#10;ZHJzL2Uyb0RvYy54bWxQSwUGAAAAAAYABgBZAQAAnAUAAAAA&#10;">
                <v:fill on="f" focussize="0,0"/>
                <v:stroke color="#000000" joinstyle="round" endarrow="block"/>
                <v:imagedata o:title=""/>
                <o:lock v:ext="edit" aspectratio="f"/>
              </v:line>
            </w:pict>
          </mc:Fallback>
        </mc:AlternateContent>
      </w:r>
      <w:r>
        <w:rPr>
          <w:rFonts w:ascii="Times New Roman" w:hAnsi="Times New Roman"/>
          <w:color w:val="000000"/>
          <w:sz w:val="32"/>
          <w:highlight w:val="none"/>
        </w:rPr>
        <mc:AlternateContent>
          <mc:Choice Requires="wps">
            <w:drawing>
              <wp:anchor distT="0" distB="0" distL="0" distR="0" simplePos="0" relativeHeight="251659264" behindDoc="0" locked="0" layoutInCell="1" allowOverlap="1">
                <wp:simplePos x="0" y="0"/>
                <wp:positionH relativeFrom="column">
                  <wp:posOffset>1749425</wp:posOffset>
                </wp:positionH>
                <wp:positionV relativeFrom="paragraph">
                  <wp:posOffset>6794500</wp:posOffset>
                </wp:positionV>
                <wp:extent cx="1028700" cy="388620"/>
                <wp:effectExtent l="4445" t="4445" r="14605" b="6985"/>
                <wp:wrapNone/>
                <wp:docPr id="1050" name="流程图: 可选过程 44"/>
                <wp:cNvGraphicFramePr/>
                <a:graphic xmlns:a="http://schemas.openxmlformats.org/drawingml/2006/main">
                  <a:graphicData uri="http://schemas.microsoft.com/office/word/2010/wordprocessingShape">
                    <wps:wsp>
                      <wps:cNvSpPr/>
                      <wps:spPr>
                        <a:xfrm>
                          <a:off x="0" y="0"/>
                          <a:ext cx="1028700" cy="388619"/>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20144E2D">
                            <w:pPr>
                              <w:jc w:val="center"/>
                              <w:rPr>
                                <w:rFonts w:hint="eastAsia"/>
                                <w:sz w:val="24"/>
                                <w:szCs w:val="24"/>
                              </w:rPr>
                            </w:pPr>
                            <w:r>
                              <w:rPr>
                                <w:rFonts w:hint="eastAsia"/>
                                <w:sz w:val="24"/>
                                <w:szCs w:val="24"/>
                              </w:rPr>
                              <w:t>资料归档</w:t>
                            </w:r>
                          </w:p>
                        </w:txbxContent>
                      </wps:txbx>
                      <wps:bodyPr upright="1"/>
                    </wps:wsp>
                  </a:graphicData>
                </a:graphic>
              </wp:anchor>
            </w:drawing>
          </mc:Choice>
          <mc:Fallback>
            <w:pict>
              <v:shape id="流程图: 可选过程 44" o:spid="_x0000_s1026" o:spt="176" type="#_x0000_t176" style="position:absolute;left:0pt;margin-left:137.75pt;margin-top:535pt;height:30.6pt;width:81pt;z-index:251659264;mso-width-relative:page;mso-height-relative:page;" fillcolor="#FFFFFF" filled="t" stroked="t" coordsize="21600,21600" o:gfxdata="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AcnGcK2QAAAA0BAAAPAAAAAAAAAAEAIAAAACIAAABkcnMvZG93bnJldi54bWxQSwEC&#10;FAAUAAAACACHTuJAtuXGzywCAABTBAAADgAAAAAAAAABACAAAAAoAQAAZHJzL2Uyb0RvYy54bWxQ&#10;SwUGAAAAAAYABgBZAQAAxgUAAAAA&#10;">
                <v:fill on="t" focussize="0,0"/>
                <v:stroke color="#000000" joinstyle="miter"/>
                <v:imagedata o:title=""/>
                <o:lock v:ext="edit" aspectratio="f"/>
                <v:textbox>
                  <w:txbxContent>
                    <w:p w14:paraId="20144E2D">
                      <w:pPr>
                        <w:jc w:val="center"/>
                        <w:rPr>
                          <w:rFonts w:hint="eastAsia"/>
                          <w:sz w:val="24"/>
                          <w:szCs w:val="24"/>
                        </w:rPr>
                      </w:pPr>
                      <w:r>
                        <w:rPr>
                          <w:rFonts w:hint="eastAsia"/>
                          <w:sz w:val="24"/>
                          <w:szCs w:val="24"/>
                        </w:rPr>
                        <w:t>资料归档</w:t>
                      </w:r>
                    </w:p>
                  </w:txbxContent>
                </v:textbox>
              </v:shape>
            </w:pict>
          </mc:Fallback>
        </mc:AlternateContent>
      </w:r>
      <w:r>
        <w:rPr>
          <w:rFonts w:ascii="Times New Roman" w:hAnsi="Times New Roman"/>
          <w:color w:val="000000"/>
          <w:sz w:val="32"/>
          <w:highlight w:val="none"/>
        </w:rPr>
        <mc:AlternateContent>
          <mc:Choice Requires="wps">
            <w:drawing>
              <wp:anchor distT="0" distB="0" distL="0" distR="0" simplePos="0" relativeHeight="251659264" behindDoc="0" locked="0" layoutInCell="1" allowOverlap="1">
                <wp:simplePos x="0" y="0"/>
                <wp:positionH relativeFrom="column">
                  <wp:posOffset>1787525</wp:posOffset>
                </wp:positionH>
                <wp:positionV relativeFrom="paragraph">
                  <wp:posOffset>4213860</wp:posOffset>
                </wp:positionV>
                <wp:extent cx="1028700" cy="388620"/>
                <wp:effectExtent l="4445" t="4445" r="14605" b="6985"/>
                <wp:wrapNone/>
                <wp:docPr id="1051" name="流程图: 可选过程 45"/>
                <wp:cNvGraphicFramePr/>
                <a:graphic xmlns:a="http://schemas.openxmlformats.org/drawingml/2006/main">
                  <a:graphicData uri="http://schemas.microsoft.com/office/word/2010/wordprocessingShape">
                    <wps:wsp>
                      <wps:cNvSpPr/>
                      <wps:spPr>
                        <a:xfrm>
                          <a:off x="0" y="0"/>
                          <a:ext cx="1028700" cy="38862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0B275634">
                            <w:pPr>
                              <w:keepNext w:val="0"/>
                              <w:keepLines w:val="0"/>
                              <w:pageBreakBefore w:val="0"/>
                              <w:widowControl w:val="0"/>
                              <w:kinsoku/>
                              <w:wordWrap/>
                              <w:overflowPunct/>
                              <w:topLinePunct w:val="0"/>
                              <w:autoSpaceDE/>
                              <w:autoSpaceDN/>
                              <w:bidi w:val="0"/>
                              <w:adjustRightInd/>
                              <w:snapToGrid/>
                              <w:spacing w:line="340" w:lineRule="exact"/>
                              <w:ind w:left="0" w:leftChars="0" w:right="0" w:rightChars="0" w:firstLine="0" w:firstLineChars="0"/>
                              <w:jc w:val="center"/>
                              <w:textAlignment w:val="auto"/>
                              <w:outlineLvl w:val="9"/>
                              <w:rPr>
                                <w:rFonts w:hint="eastAsia"/>
                                <w:sz w:val="24"/>
                                <w:szCs w:val="24"/>
                              </w:rPr>
                            </w:pPr>
                            <w:r>
                              <w:rPr>
                                <w:rFonts w:hint="eastAsia"/>
                                <w:sz w:val="24"/>
                                <w:szCs w:val="24"/>
                              </w:rPr>
                              <w:t>提问质疑</w:t>
                            </w:r>
                          </w:p>
                        </w:txbxContent>
                      </wps:txbx>
                      <wps:bodyPr upright="1"/>
                    </wps:wsp>
                  </a:graphicData>
                </a:graphic>
              </wp:anchor>
            </w:drawing>
          </mc:Choice>
          <mc:Fallback>
            <w:pict>
              <v:shape id="流程图: 可选过程 45" o:spid="_x0000_s1026" o:spt="176" type="#_x0000_t176" style="position:absolute;left:0pt;margin-left:140.75pt;margin-top:331.8pt;height:30.6pt;width:81pt;z-index:251659264;mso-width-relative:page;mso-height-relative:page;" fillcolor="#FFFFFF" filled="t" stroked="t" coordsize="21600,21600" o:gfxdata="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4U4N2dkAAAALAQAADwAAAAAAAAABACAAAAAiAAAAZHJzL2Rvd25yZXYueG1sUEsB&#10;AhQAFAAAAAgAh07iQOx0M2YtAgAAUwQAAA4AAAAAAAAAAQAgAAAAKAEAAGRycy9lMm9Eb2MueG1s&#10;UEsFBgAAAAAGAAYAWQEAAMcFAAAAAA==&#10;">
                <v:fill on="t" focussize="0,0"/>
                <v:stroke color="#000000" joinstyle="miter"/>
                <v:imagedata o:title=""/>
                <o:lock v:ext="edit" aspectratio="f"/>
                <v:textbox>
                  <w:txbxContent>
                    <w:p w14:paraId="0B275634">
                      <w:pPr>
                        <w:keepNext w:val="0"/>
                        <w:keepLines w:val="0"/>
                        <w:pageBreakBefore w:val="0"/>
                        <w:widowControl w:val="0"/>
                        <w:kinsoku/>
                        <w:wordWrap/>
                        <w:overflowPunct/>
                        <w:topLinePunct w:val="0"/>
                        <w:autoSpaceDE/>
                        <w:autoSpaceDN/>
                        <w:bidi w:val="0"/>
                        <w:adjustRightInd/>
                        <w:snapToGrid/>
                        <w:spacing w:line="340" w:lineRule="exact"/>
                        <w:ind w:left="0" w:leftChars="0" w:right="0" w:rightChars="0" w:firstLine="0" w:firstLineChars="0"/>
                        <w:jc w:val="center"/>
                        <w:textAlignment w:val="auto"/>
                        <w:outlineLvl w:val="9"/>
                        <w:rPr>
                          <w:rFonts w:hint="eastAsia"/>
                          <w:sz w:val="24"/>
                          <w:szCs w:val="24"/>
                        </w:rPr>
                      </w:pPr>
                      <w:r>
                        <w:rPr>
                          <w:rFonts w:hint="eastAsia"/>
                          <w:sz w:val="24"/>
                          <w:szCs w:val="24"/>
                        </w:rPr>
                        <w:t>提问质疑</w:t>
                      </w:r>
                    </w:p>
                  </w:txbxContent>
                </v:textbox>
              </v:shape>
            </w:pict>
          </mc:Fallback>
        </mc:AlternateContent>
      </w:r>
      <w:r>
        <w:rPr>
          <w:rFonts w:ascii="Times New Roman" w:hAnsi="Times New Roman"/>
          <w:color w:val="000000"/>
          <w:sz w:val="32"/>
          <w:highlight w:val="none"/>
        </w:rPr>
        <mc:AlternateContent>
          <mc:Choice Requires="wps">
            <w:drawing>
              <wp:anchor distT="0" distB="0" distL="0" distR="0" simplePos="0" relativeHeight="251659264" behindDoc="0" locked="0" layoutInCell="1" allowOverlap="1">
                <wp:simplePos x="0" y="0"/>
                <wp:positionH relativeFrom="column">
                  <wp:posOffset>1778000</wp:posOffset>
                </wp:positionH>
                <wp:positionV relativeFrom="paragraph">
                  <wp:posOffset>3594735</wp:posOffset>
                </wp:positionV>
                <wp:extent cx="1028700" cy="388620"/>
                <wp:effectExtent l="4445" t="4445" r="14605" b="6985"/>
                <wp:wrapNone/>
                <wp:docPr id="1052" name="流程图: 可选过程 47"/>
                <wp:cNvGraphicFramePr/>
                <a:graphic xmlns:a="http://schemas.openxmlformats.org/drawingml/2006/main">
                  <a:graphicData uri="http://schemas.microsoft.com/office/word/2010/wordprocessingShape">
                    <wps:wsp>
                      <wps:cNvSpPr/>
                      <wps:spPr>
                        <a:xfrm>
                          <a:off x="0" y="0"/>
                          <a:ext cx="1028700" cy="38862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215A7C61">
                            <w:pPr>
                              <w:jc w:val="center"/>
                              <w:rPr>
                                <w:rFonts w:hint="eastAsia"/>
                                <w:sz w:val="24"/>
                                <w:szCs w:val="24"/>
                              </w:rPr>
                            </w:pPr>
                            <w:r>
                              <w:rPr>
                                <w:rFonts w:hint="eastAsia"/>
                                <w:sz w:val="24"/>
                                <w:szCs w:val="24"/>
                              </w:rPr>
                              <w:t>现场核查</w:t>
                            </w:r>
                          </w:p>
                        </w:txbxContent>
                      </wps:txbx>
                      <wps:bodyPr upright="1"/>
                    </wps:wsp>
                  </a:graphicData>
                </a:graphic>
              </wp:anchor>
            </w:drawing>
          </mc:Choice>
          <mc:Fallback>
            <w:pict>
              <v:shape id="流程图: 可选过程 47" o:spid="_x0000_s1026" o:spt="176" type="#_x0000_t176" style="position:absolute;left:0pt;margin-left:140pt;margin-top:283.05pt;height:30.6pt;width:81pt;z-index:251659264;mso-width-relative:page;mso-height-relative:page;" fillcolor="#FFFFFF" filled="t" stroked="t" coordsize="21600,21600" o:gfxdata="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jw1PVdkAAAALAQAADwAAAAAAAAABACAAAAAiAAAAZHJzL2Rvd25yZXYueG1sUEsB&#10;AhQAFAAAAAgAh07iQJzP730tAgAAUwQAAA4AAAAAAAAAAQAgAAAAKAEAAGRycy9lMm9Eb2MueG1s&#10;UEsFBgAAAAAGAAYAWQEAAMcFAAAAAA==&#10;">
                <v:fill on="t" focussize="0,0"/>
                <v:stroke color="#000000" joinstyle="miter"/>
                <v:imagedata o:title=""/>
                <o:lock v:ext="edit" aspectratio="f"/>
                <v:textbox>
                  <w:txbxContent>
                    <w:p w14:paraId="215A7C61">
                      <w:pPr>
                        <w:jc w:val="center"/>
                        <w:rPr>
                          <w:rFonts w:hint="eastAsia"/>
                          <w:sz w:val="24"/>
                          <w:szCs w:val="24"/>
                        </w:rPr>
                      </w:pPr>
                      <w:r>
                        <w:rPr>
                          <w:rFonts w:hint="eastAsia"/>
                          <w:sz w:val="24"/>
                          <w:szCs w:val="24"/>
                        </w:rPr>
                        <w:t>现场核查</w:t>
                      </w:r>
                    </w:p>
                  </w:txbxContent>
                </v:textbox>
              </v:shape>
            </w:pict>
          </mc:Fallback>
        </mc:AlternateContent>
      </w:r>
      <w:r>
        <w:rPr>
          <w:rFonts w:ascii="Times New Roman" w:hAnsi="Times New Roman"/>
          <w:color w:val="000000"/>
          <w:sz w:val="32"/>
          <w:highlight w:val="none"/>
        </w:rPr>
        <mc:AlternateContent>
          <mc:Choice Requires="wps">
            <w:drawing>
              <wp:anchor distT="0" distB="0" distL="0" distR="0" simplePos="0" relativeHeight="251659264" behindDoc="0" locked="0" layoutInCell="1" allowOverlap="1">
                <wp:simplePos x="0" y="0"/>
                <wp:positionH relativeFrom="column">
                  <wp:posOffset>1759585</wp:posOffset>
                </wp:positionH>
                <wp:positionV relativeFrom="paragraph">
                  <wp:posOffset>2874645</wp:posOffset>
                </wp:positionV>
                <wp:extent cx="1037590" cy="384810"/>
                <wp:effectExtent l="4445" t="4445" r="5715" b="10795"/>
                <wp:wrapNone/>
                <wp:docPr id="1053" name="流程图: 可选过程 48"/>
                <wp:cNvGraphicFramePr/>
                <a:graphic xmlns:a="http://schemas.openxmlformats.org/drawingml/2006/main">
                  <a:graphicData uri="http://schemas.microsoft.com/office/word/2010/wordprocessingShape">
                    <wps:wsp>
                      <wps:cNvSpPr/>
                      <wps:spPr>
                        <a:xfrm>
                          <a:off x="0" y="0"/>
                          <a:ext cx="1037590" cy="38481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204FEC15">
                            <w:pPr>
                              <w:jc w:val="center"/>
                              <w:rPr>
                                <w:rFonts w:hint="eastAsia"/>
                                <w:sz w:val="24"/>
                                <w:szCs w:val="24"/>
                              </w:rPr>
                            </w:pPr>
                            <w:r>
                              <w:rPr>
                                <w:rFonts w:hint="eastAsia"/>
                                <w:sz w:val="24"/>
                                <w:szCs w:val="24"/>
                              </w:rPr>
                              <w:t>资料审查</w:t>
                            </w:r>
                          </w:p>
                        </w:txbxContent>
                      </wps:txbx>
                      <wps:bodyPr upright="1"/>
                    </wps:wsp>
                  </a:graphicData>
                </a:graphic>
              </wp:anchor>
            </w:drawing>
          </mc:Choice>
          <mc:Fallback>
            <w:pict>
              <v:shape id="流程图: 可选过程 48" o:spid="_x0000_s1026" o:spt="176" type="#_x0000_t176" style="position:absolute;left:0pt;margin-left:138.55pt;margin-top:226.35pt;height:30.3pt;width:81.7pt;z-index:251659264;mso-width-relative:page;mso-height-relative:page;" fillcolor="#FFFFFF" filled="t" stroked="t" coordsize="21600,21600" o:gfxdata="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D80ODfZAAAACwEAAA8AAAAAAAAAAQAgAAAAIgAAAGRycy9kb3ducmV2LnhtbFBL&#10;AQIUABQAAAAIAIdO4kDekfvhLgIAAFMEAAAOAAAAAAAAAAEAIAAAACgBAABkcnMvZTJvRG9jLnht&#10;bFBLBQYAAAAABgAGAFkBAADIBQAAAAA=&#10;">
                <v:fill on="t" focussize="0,0"/>
                <v:stroke color="#000000" joinstyle="miter"/>
                <v:imagedata o:title=""/>
                <o:lock v:ext="edit" aspectratio="f"/>
                <v:textbox>
                  <w:txbxContent>
                    <w:p w14:paraId="204FEC15">
                      <w:pPr>
                        <w:jc w:val="center"/>
                        <w:rPr>
                          <w:rFonts w:hint="eastAsia"/>
                          <w:sz w:val="24"/>
                          <w:szCs w:val="24"/>
                        </w:rPr>
                      </w:pPr>
                      <w:r>
                        <w:rPr>
                          <w:rFonts w:hint="eastAsia"/>
                          <w:sz w:val="24"/>
                          <w:szCs w:val="24"/>
                        </w:rPr>
                        <w:t>资料审查</w:t>
                      </w:r>
                    </w:p>
                  </w:txbxContent>
                </v:textbox>
              </v:shape>
            </w:pict>
          </mc:Fallback>
        </mc:AlternateContent>
      </w:r>
      <w:r>
        <w:rPr>
          <w:rFonts w:ascii="Times New Roman" w:hAnsi="Times New Roman"/>
          <w:color w:val="000000"/>
          <w:sz w:val="32"/>
          <w:highlight w:val="none"/>
        </w:rPr>
        <mc:AlternateContent>
          <mc:Choice Requires="wps">
            <w:drawing>
              <wp:anchor distT="0" distB="0" distL="0" distR="0" simplePos="0" relativeHeight="251659264" behindDoc="0" locked="0" layoutInCell="1" allowOverlap="1">
                <wp:simplePos x="0" y="0"/>
                <wp:positionH relativeFrom="column">
                  <wp:posOffset>1836420</wp:posOffset>
                </wp:positionH>
                <wp:positionV relativeFrom="paragraph">
                  <wp:posOffset>678815</wp:posOffset>
                </wp:positionV>
                <wp:extent cx="942975" cy="389890"/>
                <wp:effectExtent l="4445" t="5080" r="5080" b="5080"/>
                <wp:wrapNone/>
                <wp:docPr id="1054" name="流程图: 过程 49"/>
                <wp:cNvGraphicFramePr/>
                <a:graphic xmlns:a="http://schemas.openxmlformats.org/drawingml/2006/main">
                  <a:graphicData uri="http://schemas.microsoft.com/office/word/2010/wordprocessingShape">
                    <wps:wsp>
                      <wps:cNvSpPr/>
                      <wps:spPr>
                        <a:xfrm>
                          <a:off x="0" y="0"/>
                          <a:ext cx="942975" cy="38989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14:paraId="23DD3539">
                            <w:pPr>
                              <w:jc w:val="center"/>
                              <w:rPr>
                                <w:rFonts w:hint="eastAsia"/>
                                <w:sz w:val="24"/>
                                <w:szCs w:val="24"/>
                              </w:rPr>
                            </w:pPr>
                            <w:r>
                              <w:rPr>
                                <w:rFonts w:hint="eastAsia"/>
                                <w:sz w:val="24"/>
                                <w:szCs w:val="24"/>
                              </w:rPr>
                              <w:t>制定方案</w:t>
                            </w:r>
                          </w:p>
                        </w:txbxContent>
                      </wps:txbx>
                      <wps:bodyPr upright="1"/>
                    </wps:wsp>
                  </a:graphicData>
                </a:graphic>
              </wp:anchor>
            </w:drawing>
          </mc:Choice>
          <mc:Fallback>
            <w:pict>
              <v:shape id="流程图: 过程 49" o:spid="_x0000_s1026" o:spt="109" type="#_x0000_t109" style="position:absolute;left:0pt;margin-left:144.6pt;margin-top:53.45pt;height:30.7pt;width:74.25pt;z-index:251659264;mso-width-relative:page;mso-height-relative:page;" fillcolor="#FFFFFF" filled="t" stroked="t" coordsize="21600,21600" o:gfxdata="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DUXnPvaAAAA&#10;CwEAAA8AAAAAAAAAAQAgAAAAIgAAAGRycy9kb3ducmV2LnhtbFBLAQIUABQAAAAIAIdO4kBm6Cu+&#10;GwIAAEMEAAAOAAAAAAAAAAEAIAAAACkBAABkcnMvZTJvRG9jLnhtbFBLBQYAAAAABgAGAFkBAAC2&#10;BQAAAAA=&#10;">
                <v:fill on="t" focussize="0,0"/>
                <v:stroke color="#000000" joinstyle="miter"/>
                <v:imagedata o:title=""/>
                <o:lock v:ext="edit" aspectratio="f"/>
                <v:textbox>
                  <w:txbxContent>
                    <w:p w14:paraId="23DD3539">
                      <w:pPr>
                        <w:jc w:val="center"/>
                        <w:rPr>
                          <w:rFonts w:hint="eastAsia"/>
                          <w:sz w:val="24"/>
                          <w:szCs w:val="24"/>
                        </w:rPr>
                      </w:pPr>
                      <w:r>
                        <w:rPr>
                          <w:rFonts w:hint="eastAsia"/>
                          <w:sz w:val="24"/>
                          <w:szCs w:val="24"/>
                        </w:rPr>
                        <w:t>制定方案</w:t>
                      </w:r>
                    </w:p>
                  </w:txbxContent>
                </v:textbox>
              </v:shape>
            </w:pict>
          </mc:Fallback>
        </mc:AlternateContent>
      </w:r>
    </w:p>
    <w:p w14:paraId="070FDA11">
      <w:pPr>
        <w:keepNext w:val="0"/>
        <w:keepLines w:val="0"/>
        <w:pageBreakBefore w:val="0"/>
        <w:widowControl w:val="0"/>
        <w:kinsoku/>
        <w:overflowPunct/>
        <w:topLinePunct w:val="0"/>
        <w:autoSpaceDE/>
        <w:autoSpaceDN/>
        <w:bidi w:val="0"/>
        <w:adjustRightInd/>
        <w:snapToGrid/>
        <w:spacing w:line="460" w:lineRule="exact"/>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0047F5D-7874-4B3E-A897-CEF6111E2D3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BD8E2250-20D3-464D-91EC-E73F567B9921}"/>
  </w:font>
  <w:font w:name="仿宋_GB2312">
    <w:panose1 w:val="02010609030101010101"/>
    <w:charset w:val="86"/>
    <w:family w:val="auto"/>
    <w:pitch w:val="default"/>
    <w:sig w:usb0="00000001" w:usb1="080E0000" w:usb2="00000000" w:usb3="00000000" w:csb0="00040000" w:csb1="00000000"/>
    <w:embedRegular r:id="rId3" w:fontKey="{64A44E53-5818-485C-B058-3B92C394CA7D}"/>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仿宋_GBK">
    <w:panose1 w:val="02000000000000000000"/>
    <w:charset w:val="86"/>
    <w:family w:val="auto"/>
    <w:pitch w:val="default"/>
    <w:sig w:usb0="A00002BF" w:usb1="38CF7CFA" w:usb2="00082016" w:usb3="00000000" w:csb0="00040001" w:csb1="00000000"/>
    <w:embedRegular r:id="rId4" w:fontKey="{6217F876-820F-4427-8E73-47ACB23F61D4}"/>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embedRegular r:id="rId5" w:fontKey="{4C63FCAB-A29A-4118-97C6-5513E65E8D6D}"/>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3476D">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5F319FB">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96</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path/>
              <v:fill on="f" focussize="0,0"/>
              <v:stroke on="f"/>
              <v:imagedata o:title=""/>
              <o:lock v:ext="edit"/>
              <v:textbox inset="0mm,0mm,0mm,0mm" style="mso-fit-shape-to-text:t;">
                <w:txbxContent>
                  <w:p w14:paraId="75F319FB">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96</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E46D3">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1"/>
      <w:numFmt w:val="decimal"/>
      <w:suff w:val="nothing"/>
      <w:lvlText w:val="%1."/>
      <w:lvlJc w:val="left"/>
    </w:lvl>
  </w:abstractNum>
  <w:abstractNum w:abstractNumId="1">
    <w:nsid w:val="00000001"/>
    <w:multiLevelType w:val="multilevel"/>
    <w:tmpl w:val="00000001"/>
    <w:lvl w:ilvl="0" w:tentative="0">
      <w:start w:val="1"/>
      <w:numFmt w:val="ideographDigital"/>
      <w:pStyle w:val="3"/>
      <w:lvlText w:val="（%1）"/>
      <w:lvlJc w:val="left"/>
      <w:pPr>
        <w:tabs>
          <w:tab w:val="left" w:pos="930"/>
        </w:tabs>
        <w:ind w:left="930" w:hanging="7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1841FE4F"/>
    <w:multiLevelType w:val="multilevel"/>
    <w:tmpl w:val="1841FE4F"/>
    <w:lvl w:ilvl="0" w:tentative="0">
      <w:start w:val="1"/>
      <w:numFmt w:val="chineseCounting"/>
      <w:suff w:val="nothing"/>
      <w:lvlText w:val="第%1章 "/>
      <w:lvlJc w:val="left"/>
      <w:pPr>
        <w:ind w:left="425" w:hanging="425"/>
      </w:pPr>
      <w:rPr>
        <w:rFonts w:hint="eastAsia"/>
      </w:rPr>
    </w:lvl>
    <w:lvl w:ilvl="1" w:tentative="0">
      <w:start w:val="1"/>
      <w:numFmt w:val="decimal"/>
      <w:isLgl/>
      <w:lvlText w:val="%1.%2."/>
      <w:lvlJc w:val="left"/>
      <w:pPr>
        <w:ind w:left="567" w:hanging="567"/>
      </w:pPr>
      <w:rPr>
        <w:rFonts w:hint="eastAsia"/>
      </w:rPr>
    </w:lvl>
    <w:lvl w:ilvl="2" w:tentative="0">
      <w:start w:val="1"/>
      <w:numFmt w:val="decimal"/>
      <w:pStyle w:val="4"/>
      <w:isLgl/>
      <w:lvlText w:val="%1.%2.%3."/>
      <w:lvlJc w:val="left"/>
      <w:pPr>
        <w:ind w:left="709" w:hanging="709"/>
      </w:pPr>
      <w:rPr>
        <w:rFonts w:hint="eastAsia"/>
      </w:rPr>
    </w:lvl>
    <w:lvl w:ilvl="3" w:tentative="0">
      <w:start w:val="1"/>
      <w:numFmt w:val="decimal"/>
      <w:isLgl/>
      <w:lvlText w:val="%1.%2.%3.%4."/>
      <w:lvlJc w:val="left"/>
      <w:pPr>
        <w:ind w:left="850" w:hanging="850"/>
      </w:pPr>
      <w:rPr>
        <w:rFonts w:hint="eastAsia"/>
      </w:rPr>
    </w:lvl>
    <w:lvl w:ilvl="4" w:tentative="0">
      <w:start w:val="1"/>
      <w:numFmt w:val="decimal"/>
      <w:isLgl/>
      <w:lvlText w:val="%1.%2.%3.%4.%5."/>
      <w:lvlJc w:val="left"/>
      <w:pPr>
        <w:ind w:left="991" w:hanging="991"/>
      </w:pPr>
      <w:rPr>
        <w:rFonts w:hint="eastAsia"/>
      </w:rPr>
    </w:lvl>
    <w:lvl w:ilvl="5" w:tentative="0">
      <w:start w:val="1"/>
      <w:numFmt w:val="decimal"/>
      <w:isLgl/>
      <w:lvlText w:val="%1.%2.%3.%4.%5.%6."/>
      <w:lvlJc w:val="left"/>
      <w:pPr>
        <w:ind w:left="1134" w:hanging="1134"/>
      </w:pPr>
      <w:rPr>
        <w:rFonts w:hint="eastAsia"/>
      </w:rPr>
    </w:lvl>
    <w:lvl w:ilvl="6" w:tentative="0">
      <w:start w:val="1"/>
      <w:numFmt w:val="decimal"/>
      <w:isLgl/>
      <w:lvlText w:val="%1.%2.%3.%4.%5.%6.%7."/>
      <w:lvlJc w:val="left"/>
      <w:pPr>
        <w:ind w:left="1275" w:hanging="1275"/>
      </w:pPr>
      <w:rPr>
        <w:rFonts w:hint="eastAsia"/>
      </w:rPr>
    </w:lvl>
    <w:lvl w:ilvl="7" w:tentative="0">
      <w:start w:val="1"/>
      <w:numFmt w:val="decimal"/>
      <w:isLgl/>
      <w:lvlText w:val="%1.%2.%3.%4.%5.%6.%7.%8."/>
      <w:lvlJc w:val="left"/>
      <w:pPr>
        <w:ind w:left="1418" w:hanging="1418"/>
      </w:pPr>
      <w:rPr>
        <w:rFonts w:hint="eastAsia"/>
      </w:rPr>
    </w:lvl>
    <w:lvl w:ilvl="8" w:tentative="0">
      <w:start w:val="1"/>
      <w:numFmt w:val="decimal"/>
      <w:isLgl/>
      <w:lvlText w:val="%1.%2.%3.%4.%5.%6.%7.%8.%9."/>
      <w:lvlJc w:val="left"/>
      <w:pPr>
        <w:ind w:left="1558" w:hanging="1558"/>
      </w:pPr>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F91C6C"/>
    <w:rsid w:val="03B713E0"/>
    <w:rsid w:val="0CF54A25"/>
    <w:rsid w:val="1A57106F"/>
    <w:rsid w:val="34FD363C"/>
    <w:rsid w:val="468A223A"/>
    <w:rsid w:val="508957E5"/>
    <w:rsid w:val="52F91C6C"/>
    <w:rsid w:val="6C867659"/>
    <w:rsid w:val="706F47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rPr>
  </w:style>
  <w:style w:type="paragraph" w:styleId="3">
    <w:name w:val="heading 2"/>
    <w:next w:val="1"/>
    <w:qFormat/>
    <w:uiPriority w:val="0"/>
    <w:pPr>
      <w:keepNext/>
      <w:keepLines/>
      <w:numPr>
        <w:ilvl w:val="0"/>
        <w:numId w:val="1"/>
      </w:numPr>
      <w:ind w:left="0" w:firstLine="0"/>
      <w:outlineLvl w:val="1"/>
    </w:pPr>
    <w:rPr>
      <w:rFonts w:ascii="Arial" w:hAnsi="Arial" w:eastAsia="楷体_GB2312" w:cs="Times New Roman"/>
      <w:b/>
      <w:bCs/>
      <w:kern w:val="2"/>
      <w:sz w:val="32"/>
      <w:szCs w:val="32"/>
      <w:lang w:val="en-US" w:eastAsia="zh-CN" w:bidi="ar-SA"/>
    </w:rPr>
  </w:style>
  <w:style w:type="paragraph" w:styleId="4">
    <w:name w:val="heading 3"/>
    <w:basedOn w:val="1"/>
    <w:next w:val="1"/>
    <w:semiHidden/>
    <w:unhideWhenUsed/>
    <w:qFormat/>
    <w:uiPriority w:val="0"/>
    <w:pPr>
      <w:keepNext/>
      <w:keepLines/>
      <w:numPr>
        <w:ilvl w:val="2"/>
        <w:numId w:val="2"/>
      </w:numPr>
      <w:spacing w:before="260" w:beforeLines="0" w:beforeAutospacing="0" w:after="260" w:afterLines="0" w:afterAutospacing="0" w:line="413" w:lineRule="auto"/>
      <w:ind w:left="0" w:leftChars="0" w:firstLine="400"/>
      <w:outlineLvl w:val="2"/>
    </w:pPr>
    <w:rPr>
      <w:rFonts w:ascii="Calibri" w:hAnsi="Calibri" w:eastAsia="黑体"/>
      <w:sz w:val="30"/>
    </w:rPr>
  </w:style>
  <w:style w:type="paragraph" w:styleId="5">
    <w:name w:val="heading 4"/>
    <w:basedOn w:val="1"/>
    <w:next w:val="1"/>
    <w:semiHidden/>
    <w:unhideWhenUsed/>
    <w:qFormat/>
    <w:uiPriority w:val="0"/>
    <w:pPr>
      <w:keepNext/>
      <w:keepLines/>
      <w:spacing w:before="280" w:beforeLines="0" w:beforeAutospacing="0" w:after="290" w:afterLines="0" w:afterAutospacing="0" w:line="372" w:lineRule="auto"/>
      <w:ind w:left="640" w:leftChars="200"/>
      <w:jc w:val="left"/>
      <w:outlineLvl w:val="3"/>
    </w:pPr>
    <w:rPr>
      <w:rFonts w:ascii="Arial" w:hAnsi="Arial" w:eastAsia="黑体"/>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6">
    <w:name w:val="Normal Indent"/>
    <w:basedOn w:val="1"/>
    <w:qFormat/>
    <w:uiPriority w:val="0"/>
    <w:pPr>
      <w:ind w:firstLine="420" w:firstLineChars="200"/>
    </w:pPr>
  </w:style>
  <w:style w:type="paragraph" w:styleId="7">
    <w:name w:val="Body Text"/>
    <w:basedOn w:val="1"/>
    <w:qFormat/>
    <w:uiPriority w:val="0"/>
    <w:pPr>
      <w:ind w:left="106"/>
    </w:pPr>
    <w:rPr>
      <w:rFonts w:ascii="宋体" w:hAnsi="宋体" w:eastAsia="仿宋_GB2312" w:cs="宋体"/>
      <w:sz w:val="32"/>
      <w:szCs w:val="19"/>
      <w:lang w:val="zh-CN" w:bidi="zh-CN"/>
    </w:rPr>
  </w:style>
  <w:style w:type="paragraph" w:styleId="8">
    <w:name w:val="Body Text Indent"/>
    <w:basedOn w:val="1"/>
    <w:next w:val="6"/>
    <w:qFormat/>
    <w:uiPriority w:val="0"/>
    <w:pPr>
      <w:spacing w:after="120"/>
      <w:ind w:left="420" w:leftChars="200"/>
    </w:pPr>
    <w:rPr>
      <w:rFonts w:ascii="等线" w:hAnsi="等线" w:eastAsia="等线" w:cs="Times New Roman"/>
      <w:sz w:val="30"/>
      <w:szCs w:val="22"/>
    </w:rPr>
  </w:style>
  <w:style w:type="paragraph" w:styleId="9">
    <w:name w:val="toc 5"/>
    <w:basedOn w:val="1"/>
    <w:next w:val="1"/>
    <w:qFormat/>
    <w:uiPriority w:val="0"/>
    <w:pPr>
      <w:ind w:left="1680" w:leftChars="800"/>
    </w:pPr>
  </w:style>
  <w:style w:type="paragraph" w:styleId="10">
    <w:name w:val="Plain Text"/>
    <w:basedOn w:val="1"/>
    <w:qFormat/>
    <w:uiPriority w:val="0"/>
    <w:rPr>
      <w:rFonts w:hint="eastAsia" w:ascii="宋体" w:hAnsi="Courier New" w:eastAsia="宋体" w:cs="Times New Roman"/>
      <w:sz w:val="30"/>
      <w:szCs w:val="21"/>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Title"/>
    <w:basedOn w:val="3"/>
    <w:next w:val="1"/>
    <w:qFormat/>
    <w:uiPriority w:val="0"/>
    <w:pPr>
      <w:keepNext w:val="0"/>
      <w:keepLines w:val="0"/>
      <w:tabs>
        <w:tab w:val="clear" w:pos="930"/>
      </w:tabs>
      <w:spacing w:before="0" w:after="0" w:line="240" w:lineRule="auto"/>
      <w:jc w:val="center"/>
    </w:pPr>
    <w:rPr>
      <w:rFonts w:ascii="Times New Roman" w:hAnsi="Times New Roman" w:eastAsia="华文中宋" w:cs="Times New Roman"/>
      <w:color w:val="FF0000"/>
      <w:w w:val="62"/>
      <w:kern w:val="0"/>
      <w:sz w:val="52"/>
      <w:szCs w:val="24"/>
      <w:fitText w:val="7769" w:id="0"/>
    </w:rPr>
  </w:style>
  <w:style w:type="paragraph" w:styleId="14">
    <w:name w:val="Body Text First Indent 2"/>
    <w:basedOn w:val="7"/>
    <w:next w:val="1"/>
    <w:qFormat/>
    <w:uiPriority w:val="0"/>
    <w:pPr>
      <w:ind w:firstLine="420" w:firstLineChars="200"/>
      <w:jc w:val="left"/>
    </w:pPr>
    <w:rPr>
      <w:rFonts w:ascii="方正仿宋_GBK" w:hAnsi="方正仿宋_GBK" w:eastAsia="方正仿宋_GBK" w:cs="Times New Roman"/>
      <w:bCs/>
      <w:sz w:val="32"/>
    </w:rPr>
  </w:style>
  <w:style w:type="character" w:styleId="17">
    <w:name w:val="Strong"/>
    <w:basedOn w:val="16"/>
    <w:qFormat/>
    <w:uiPriority w:val="0"/>
    <w:rPr>
      <w:rFonts w:ascii="Calibri" w:hAnsi="Calibri" w:eastAsia="宋体" w:cs="Times New Roman"/>
      <w:b/>
    </w:rPr>
  </w:style>
  <w:style w:type="paragraph" w:customStyle="1" w:styleId="18">
    <w:name w:val="Default"/>
    <w:qFormat/>
    <w:uiPriority w:val="0"/>
    <w:pPr>
      <w:widowControl w:val="0"/>
      <w:autoSpaceDE w:val="0"/>
      <w:autoSpaceDN w:val="0"/>
      <w:adjustRightInd w:val="0"/>
    </w:pPr>
    <w:rPr>
      <w:rFonts w:ascii="宋体" w:hAnsi="宋体" w:eastAsia="仿宋_GB2312" w:cs="Times New Roman"/>
      <w:color w:val="000000"/>
      <w:sz w:val="32"/>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2026-09-28T03:25:00Z</dcterms:created>
  <dc:creator>√不知道</dc:creator>
  <cp:lastModifiedBy>√不知道</cp:lastModifiedBy>
  <dcterms:modified xsi:type="dcterms:W3CDTF">2026-09-28T03:28:51Z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B26E19F0237744B2991913E4838C974A_11</vt:lpwstr>
  </property>
  <property fmtid="{D5CDD505-2E9C-101B-9397-08002B2CF9AE}" pid="4" name="KSOTemplateDocerSaveRecord">
    <vt:lpwstr>eyJoZGlkIjoiMzA1MzdhY2ZkNWRkNTFjY2Y4ZjE2Yjk1ZTVmNmZhNWEiLCJ1c2VySWQiOiIxOTgzNjg4MzcifQ==</vt:lpwstr>
  </property>
</Properties>
</file>