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9DA1F">
      <w:pPr>
        <w:adjustRightInd w:val="0"/>
        <w:snapToGrid w:val="0"/>
        <w:spacing w:line="440" w:lineRule="exact"/>
        <w:jc w:val="center"/>
        <w:rPr>
          <w:rFonts w:hint="eastAsia" w:ascii="Times New Roman" w:hAnsi="Times New Roman" w:eastAsia="方正小标宋简体" w:cs="Times New Roman"/>
          <w:color w:val="auto"/>
          <w:sz w:val="32"/>
          <w:szCs w:val="32"/>
          <w:highlight w:val="none"/>
        </w:rPr>
      </w:pPr>
      <w:r>
        <w:rPr>
          <w:rFonts w:hint="eastAsia" w:ascii="Times New Roman" w:hAnsi="Times New Roman" w:eastAsia="方正小标宋简体" w:cs="Times New Roman"/>
          <w:color w:val="auto"/>
          <w:sz w:val="32"/>
          <w:szCs w:val="32"/>
          <w:highlight w:val="none"/>
        </w:rPr>
        <w:t>辽宁省儿童爬行垫（儿童地垫）产品质量监督抽查实施细则</w:t>
      </w:r>
    </w:p>
    <w:p w14:paraId="1ED36714">
      <w:pPr>
        <w:adjustRightInd w:val="0"/>
        <w:snapToGrid w:val="0"/>
        <w:spacing w:line="440" w:lineRule="exact"/>
        <w:jc w:val="center"/>
        <w:rPr>
          <w:rFonts w:eastAsia="方正小标宋简体"/>
          <w:color w:val="auto"/>
          <w:sz w:val="32"/>
          <w:szCs w:val="32"/>
          <w:highlight w:val="none"/>
        </w:rPr>
      </w:pPr>
    </w:p>
    <w:p w14:paraId="7815B4BE">
      <w:pPr>
        <w:snapToGrid w:val="0"/>
        <w:spacing w:line="440" w:lineRule="exact"/>
        <w:rPr>
          <w:rFonts w:eastAsia="黑体"/>
          <w:color w:val="auto"/>
          <w:szCs w:val="21"/>
          <w:highlight w:val="none"/>
        </w:rPr>
      </w:pPr>
      <w:r>
        <w:rPr>
          <w:rFonts w:eastAsia="黑体"/>
          <w:color w:val="auto"/>
          <w:szCs w:val="21"/>
          <w:highlight w:val="none"/>
        </w:rPr>
        <w:t>1 抽样方法</w:t>
      </w:r>
    </w:p>
    <w:p w14:paraId="54BE1B39">
      <w:pPr>
        <w:snapToGrid w:val="0"/>
        <w:spacing w:line="440" w:lineRule="exact"/>
        <w:ind w:firstLine="420" w:firstLineChars="200"/>
        <w:rPr>
          <w:color w:val="auto"/>
          <w:szCs w:val="21"/>
          <w:highlight w:val="none"/>
        </w:rPr>
      </w:pPr>
      <w:r>
        <w:rPr>
          <w:color w:val="auto"/>
          <w:szCs w:val="21"/>
          <w:highlight w:val="none"/>
        </w:rPr>
        <w:t>以随机抽样的方式在被抽样生产者、销售者的待销产品中抽取。</w:t>
      </w:r>
      <w:bookmarkStart w:id="0" w:name="_GoBack"/>
      <w:bookmarkEnd w:id="0"/>
    </w:p>
    <w:p w14:paraId="0681D254">
      <w:pPr>
        <w:snapToGrid w:val="0"/>
        <w:spacing w:line="440" w:lineRule="exact"/>
        <w:ind w:firstLine="420" w:firstLineChars="200"/>
        <w:rPr>
          <w:color w:val="auto"/>
          <w:szCs w:val="21"/>
          <w:highlight w:val="none"/>
        </w:rPr>
      </w:pPr>
      <w:r>
        <w:rPr>
          <w:color w:val="auto"/>
          <w:szCs w:val="21"/>
          <w:highlight w:val="none"/>
        </w:rPr>
        <w:t>随机数一般可使用随机数表等方法产生。</w:t>
      </w:r>
    </w:p>
    <w:p w14:paraId="65A36228">
      <w:pPr>
        <w:adjustRightInd w:val="0"/>
        <w:snapToGrid w:val="0"/>
        <w:spacing w:line="44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每批次产品抽取样品</w:t>
      </w:r>
      <w:r>
        <w:rPr>
          <w:rFonts w:hint="eastAsia" w:cs="Times New Roman"/>
          <w:sz w:val="21"/>
          <w:szCs w:val="21"/>
          <w:lang w:val="en-US" w:eastAsia="zh-CN"/>
        </w:rPr>
        <w:t>2张/</w:t>
      </w:r>
      <w:r>
        <w:rPr>
          <w:rFonts w:hint="eastAsia" w:ascii="Times New Roman" w:hAnsi="Times New Roman" w:cs="Times New Roman"/>
          <w:sz w:val="21"/>
          <w:szCs w:val="21"/>
          <w:lang w:val="en-US" w:eastAsia="zh-CN"/>
        </w:rPr>
        <w:t>套</w:t>
      </w:r>
      <w:r>
        <w:rPr>
          <w:rFonts w:hint="default" w:ascii="Times New Roman" w:hAnsi="Times New Roman" w:cs="Times New Roman"/>
          <w:sz w:val="21"/>
          <w:szCs w:val="21"/>
        </w:rPr>
        <w:t>，其中</w:t>
      </w:r>
      <w:r>
        <w:rPr>
          <w:rFonts w:hint="eastAsia" w:cs="Times New Roman"/>
          <w:sz w:val="21"/>
          <w:szCs w:val="21"/>
          <w:lang w:val="en-US" w:eastAsia="zh-CN"/>
        </w:rPr>
        <w:t>1张/</w:t>
      </w:r>
      <w:r>
        <w:rPr>
          <w:rFonts w:hint="eastAsia" w:ascii="Times New Roman" w:hAnsi="Times New Roman" w:cs="Times New Roman"/>
          <w:sz w:val="21"/>
          <w:szCs w:val="21"/>
          <w:lang w:val="en-US" w:eastAsia="zh-CN"/>
        </w:rPr>
        <w:t>套</w:t>
      </w:r>
      <w:r>
        <w:rPr>
          <w:rFonts w:hint="default" w:ascii="Times New Roman" w:hAnsi="Times New Roman" w:cs="Times New Roman"/>
          <w:sz w:val="21"/>
          <w:szCs w:val="21"/>
        </w:rPr>
        <w:t>作为检验样品，1</w:t>
      </w:r>
      <w:r>
        <w:rPr>
          <w:rFonts w:hint="eastAsia" w:cs="Times New Roman"/>
          <w:sz w:val="21"/>
          <w:szCs w:val="21"/>
          <w:lang w:eastAsia="zh-CN"/>
        </w:rPr>
        <w:t>张</w:t>
      </w:r>
      <w:r>
        <w:rPr>
          <w:rFonts w:hint="eastAsia" w:ascii="Times New Roman" w:hAnsi="Times New Roman" w:cs="Times New Roman"/>
          <w:sz w:val="21"/>
          <w:szCs w:val="21"/>
          <w:lang w:val="en-US" w:eastAsia="zh-CN"/>
        </w:rPr>
        <w:t>/套</w:t>
      </w:r>
      <w:r>
        <w:rPr>
          <w:rFonts w:hint="default" w:ascii="Times New Roman" w:hAnsi="Times New Roman" w:cs="Times New Roman"/>
          <w:sz w:val="21"/>
          <w:szCs w:val="21"/>
        </w:rPr>
        <w:t>作为备用样品。</w:t>
      </w:r>
    </w:p>
    <w:p w14:paraId="3834FA12">
      <w:pPr>
        <w:pStyle w:val="8"/>
      </w:pPr>
    </w:p>
    <w:p w14:paraId="1D257269">
      <w:pPr>
        <w:snapToGrid w:val="0"/>
        <w:spacing w:line="440" w:lineRule="exact"/>
        <w:rPr>
          <w:rFonts w:eastAsia="黑体"/>
          <w:color w:val="auto"/>
          <w:szCs w:val="21"/>
          <w:highlight w:val="none"/>
        </w:rPr>
      </w:pPr>
      <w:r>
        <w:rPr>
          <w:rFonts w:eastAsia="黑体"/>
          <w:color w:val="auto"/>
          <w:szCs w:val="21"/>
          <w:highlight w:val="none"/>
        </w:rPr>
        <w:t>2 检验依据</w:t>
      </w:r>
    </w:p>
    <w:p w14:paraId="77BE686B">
      <w:pPr>
        <w:pStyle w:val="8"/>
      </w:pPr>
    </w:p>
    <w:tbl>
      <w:tblPr>
        <w:tblStyle w:val="10"/>
        <w:tblW w:w="499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15" w:type="dxa"/>
          <w:left w:w="15" w:type="dxa"/>
          <w:bottom w:w="15" w:type="dxa"/>
          <w:right w:w="15" w:type="dxa"/>
        </w:tblCellMar>
      </w:tblPr>
      <w:tblGrid>
        <w:gridCol w:w="737"/>
        <w:gridCol w:w="2703"/>
        <w:gridCol w:w="2925"/>
        <w:gridCol w:w="2886"/>
      </w:tblGrid>
      <w:tr w14:paraId="6F238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cantSplit/>
          <w:trHeight w:val="397" w:hRule="atLeast"/>
          <w:tblHeader/>
          <w:jc w:val="center"/>
        </w:trPr>
        <w:tc>
          <w:tcPr>
            <w:tcW w:w="398" w:type="pct"/>
            <w:tcBorders>
              <w:tl2br w:val="nil"/>
              <w:tr2bl w:val="nil"/>
            </w:tcBorders>
            <w:tcMar>
              <w:top w:w="75" w:type="dxa"/>
              <w:left w:w="150" w:type="dxa"/>
              <w:bottom w:w="75" w:type="dxa"/>
              <w:right w:w="150" w:type="dxa"/>
            </w:tcMar>
            <w:vAlign w:val="center"/>
          </w:tcPr>
          <w:p w14:paraId="13B448BA">
            <w:pPr>
              <w:pStyle w:val="9"/>
              <w:widowControl/>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序号</w:t>
            </w:r>
          </w:p>
        </w:tc>
        <w:tc>
          <w:tcPr>
            <w:tcW w:w="1460" w:type="pct"/>
            <w:tcBorders>
              <w:tl2br w:val="nil"/>
              <w:tr2bl w:val="nil"/>
            </w:tcBorders>
            <w:tcMar>
              <w:top w:w="75" w:type="dxa"/>
              <w:left w:w="150" w:type="dxa"/>
              <w:bottom w:w="75" w:type="dxa"/>
              <w:right w:w="150" w:type="dxa"/>
            </w:tcMar>
            <w:vAlign w:val="center"/>
          </w:tcPr>
          <w:p w14:paraId="32A14BD9">
            <w:pPr>
              <w:pStyle w:val="9"/>
              <w:widowControl/>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检验项目</w:t>
            </w:r>
          </w:p>
        </w:tc>
        <w:tc>
          <w:tcPr>
            <w:tcW w:w="1580" w:type="pct"/>
            <w:tcBorders>
              <w:tl2br w:val="nil"/>
              <w:tr2bl w:val="nil"/>
            </w:tcBorders>
            <w:tcMar>
              <w:top w:w="75" w:type="dxa"/>
              <w:left w:w="150" w:type="dxa"/>
              <w:bottom w:w="75" w:type="dxa"/>
              <w:right w:w="150" w:type="dxa"/>
            </w:tcMar>
            <w:vAlign w:val="center"/>
          </w:tcPr>
          <w:p w14:paraId="38719535">
            <w:pPr>
              <w:pStyle w:val="9"/>
              <w:widowControl/>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检验依据</w:t>
            </w:r>
          </w:p>
        </w:tc>
        <w:tc>
          <w:tcPr>
            <w:tcW w:w="1559" w:type="pct"/>
            <w:tcBorders>
              <w:tl2br w:val="nil"/>
              <w:tr2bl w:val="nil"/>
            </w:tcBorders>
            <w:tcMar>
              <w:top w:w="75" w:type="dxa"/>
              <w:left w:w="150" w:type="dxa"/>
              <w:bottom w:w="75" w:type="dxa"/>
              <w:right w:w="150" w:type="dxa"/>
            </w:tcMar>
            <w:vAlign w:val="center"/>
          </w:tcPr>
          <w:p w14:paraId="42BA9D8E">
            <w:pPr>
              <w:pStyle w:val="9"/>
              <w:widowControl/>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检验方法</w:t>
            </w:r>
          </w:p>
        </w:tc>
      </w:tr>
      <w:tr w14:paraId="480D6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cantSplit/>
          <w:trHeight w:val="397" w:hRule="atLeast"/>
          <w:jc w:val="center"/>
        </w:trPr>
        <w:tc>
          <w:tcPr>
            <w:tcW w:w="398" w:type="pct"/>
            <w:tcBorders>
              <w:tl2br w:val="nil"/>
              <w:tr2bl w:val="nil"/>
            </w:tcBorders>
            <w:tcMar>
              <w:top w:w="75" w:type="dxa"/>
              <w:left w:w="150" w:type="dxa"/>
              <w:bottom w:w="75" w:type="dxa"/>
              <w:right w:w="150" w:type="dxa"/>
            </w:tcMar>
            <w:vAlign w:val="center"/>
          </w:tcPr>
          <w:p w14:paraId="6F6A534B">
            <w:pPr>
              <w:pStyle w:val="9"/>
              <w:widowControl/>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w:t>
            </w:r>
          </w:p>
        </w:tc>
        <w:tc>
          <w:tcPr>
            <w:tcW w:w="1460" w:type="pct"/>
            <w:tcBorders>
              <w:tl2br w:val="nil"/>
              <w:tr2bl w:val="nil"/>
            </w:tcBorders>
            <w:tcMar>
              <w:top w:w="75" w:type="dxa"/>
              <w:left w:w="150" w:type="dxa"/>
              <w:bottom w:w="75" w:type="dxa"/>
              <w:right w:w="150" w:type="dxa"/>
            </w:tcMar>
            <w:vAlign w:val="center"/>
          </w:tcPr>
          <w:p w14:paraId="51EBBEF5">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机械与物理性能（正常使用、可预见的合理滥用）</w:t>
            </w:r>
          </w:p>
        </w:tc>
        <w:tc>
          <w:tcPr>
            <w:tcW w:w="1580" w:type="pct"/>
            <w:tcBorders>
              <w:tl2br w:val="nil"/>
              <w:tr2bl w:val="nil"/>
            </w:tcBorders>
            <w:tcMar>
              <w:top w:w="75" w:type="dxa"/>
              <w:left w:w="150" w:type="dxa"/>
              <w:bottom w:w="75" w:type="dxa"/>
              <w:right w:w="150" w:type="dxa"/>
            </w:tcMar>
            <w:vAlign w:val="center"/>
          </w:tcPr>
          <w:p w14:paraId="07434EF9">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GB 6675.2</w:t>
            </w:r>
            <w:r>
              <w:rPr>
                <w:rFonts w:hint="eastAsia" w:cs="Times New Roman"/>
                <w:sz w:val="21"/>
                <w:szCs w:val="21"/>
                <w:lang w:eastAsia="zh-CN"/>
              </w:rPr>
              <w:t>—</w:t>
            </w:r>
            <w:r>
              <w:rPr>
                <w:rFonts w:hint="default" w:ascii="Times New Roman" w:hAnsi="Times New Roman" w:cs="Times New Roman"/>
                <w:sz w:val="21"/>
                <w:szCs w:val="21"/>
              </w:rPr>
              <w:t>2014</w:t>
            </w:r>
            <w:r>
              <w:rPr>
                <w:rFonts w:hint="eastAsia" w:cs="Times New Roman"/>
                <w:sz w:val="21"/>
                <w:szCs w:val="21"/>
                <w:lang w:eastAsia="zh-CN"/>
              </w:rPr>
              <w:t>（含第</w:t>
            </w:r>
            <w:r>
              <w:rPr>
                <w:rFonts w:hint="eastAsia" w:cs="Times New Roman"/>
                <w:sz w:val="21"/>
                <w:szCs w:val="21"/>
                <w:lang w:val="en-US" w:eastAsia="zh-CN"/>
              </w:rPr>
              <w:t>1号修改单）</w:t>
            </w:r>
          </w:p>
        </w:tc>
        <w:tc>
          <w:tcPr>
            <w:tcW w:w="1559" w:type="pct"/>
            <w:tcBorders>
              <w:tl2br w:val="nil"/>
              <w:tr2bl w:val="nil"/>
            </w:tcBorders>
            <w:tcMar>
              <w:top w:w="75" w:type="dxa"/>
              <w:left w:w="150" w:type="dxa"/>
              <w:bottom w:w="75" w:type="dxa"/>
              <w:right w:w="150" w:type="dxa"/>
            </w:tcMar>
            <w:vAlign w:val="center"/>
          </w:tcPr>
          <w:p w14:paraId="768EB9C4">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GB 6675.2</w:t>
            </w:r>
            <w:r>
              <w:rPr>
                <w:rFonts w:hint="eastAsia" w:cs="Times New Roman"/>
                <w:sz w:val="21"/>
                <w:szCs w:val="21"/>
                <w:lang w:eastAsia="zh-CN"/>
              </w:rPr>
              <w:t>—</w:t>
            </w:r>
            <w:r>
              <w:rPr>
                <w:rFonts w:hint="default" w:ascii="Times New Roman" w:hAnsi="Times New Roman" w:cs="Times New Roman"/>
                <w:sz w:val="21"/>
                <w:szCs w:val="21"/>
              </w:rPr>
              <w:t>2014</w:t>
            </w:r>
            <w:r>
              <w:rPr>
                <w:rFonts w:hint="eastAsia" w:cs="Times New Roman"/>
                <w:sz w:val="21"/>
                <w:szCs w:val="21"/>
                <w:lang w:eastAsia="zh-CN"/>
              </w:rPr>
              <w:t>（含第</w:t>
            </w:r>
            <w:r>
              <w:rPr>
                <w:rFonts w:hint="eastAsia" w:cs="Times New Roman"/>
                <w:sz w:val="21"/>
                <w:szCs w:val="21"/>
                <w:lang w:val="en-US" w:eastAsia="zh-CN"/>
              </w:rPr>
              <w:t>1号修改单）</w:t>
            </w:r>
          </w:p>
        </w:tc>
      </w:tr>
      <w:tr w14:paraId="33360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cantSplit/>
          <w:trHeight w:val="397" w:hRule="atLeast"/>
          <w:jc w:val="center"/>
        </w:trPr>
        <w:tc>
          <w:tcPr>
            <w:tcW w:w="398" w:type="pct"/>
            <w:tcBorders>
              <w:tl2br w:val="nil"/>
              <w:tr2bl w:val="nil"/>
            </w:tcBorders>
            <w:tcMar>
              <w:top w:w="75" w:type="dxa"/>
              <w:left w:w="150" w:type="dxa"/>
              <w:bottom w:w="75" w:type="dxa"/>
              <w:right w:w="150" w:type="dxa"/>
            </w:tcMar>
            <w:vAlign w:val="center"/>
          </w:tcPr>
          <w:p w14:paraId="2ECFD3BC">
            <w:pPr>
              <w:pStyle w:val="9"/>
              <w:widowControl/>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w:t>
            </w:r>
          </w:p>
        </w:tc>
        <w:tc>
          <w:tcPr>
            <w:tcW w:w="1460" w:type="pct"/>
            <w:tcBorders>
              <w:tl2br w:val="nil"/>
              <w:tr2bl w:val="nil"/>
            </w:tcBorders>
            <w:tcMar>
              <w:top w:w="75" w:type="dxa"/>
              <w:left w:w="150" w:type="dxa"/>
              <w:bottom w:w="75" w:type="dxa"/>
              <w:right w:w="150" w:type="dxa"/>
            </w:tcMar>
            <w:vAlign w:val="center"/>
          </w:tcPr>
          <w:p w14:paraId="54674772">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可迁移元素</w:t>
            </w:r>
          </w:p>
        </w:tc>
        <w:tc>
          <w:tcPr>
            <w:tcW w:w="1580" w:type="pct"/>
            <w:tcBorders>
              <w:tl2br w:val="nil"/>
              <w:tr2bl w:val="nil"/>
            </w:tcBorders>
            <w:tcMar>
              <w:top w:w="75" w:type="dxa"/>
              <w:left w:w="150" w:type="dxa"/>
              <w:bottom w:w="75" w:type="dxa"/>
              <w:right w:w="150" w:type="dxa"/>
            </w:tcMar>
            <w:vAlign w:val="center"/>
          </w:tcPr>
          <w:p w14:paraId="4944A07C">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GB 6675.4</w:t>
            </w:r>
            <w:r>
              <w:rPr>
                <w:rFonts w:hint="eastAsia" w:cs="Times New Roman"/>
                <w:sz w:val="21"/>
                <w:szCs w:val="21"/>
                <w:lang w:eastAsia="zh-CN"/>
              </w:rPr>
              <w:t>—</w:t>
            </w:r>
            <w:r>
              <w:rPr>
                <w:rFonts w:hint="default" w:ascii="Times New Roman" w:hAnsi="Times New Roman" w:cs="Times New Roman"/>
                <w:sz w:val="21"/>
                <w:szCs w:val="21"/>
              </w:rPr>
              <w:t>2014</w:t>
            </w:r>
          </w:p>
        </w:tc>
        <w:tc>
          <w:tcPr>
            <w:tcW w:w="1559" w:type="pct"/>
            <w:tcBorders>
              <w:tl2br w:val="nil"/>
              <w:tr2bl w:val="nil"/>
            </w:tcBorders>
            <w:tcMar>
              <w:top w:w="75" w:type="dxa"/>
              <w:left w:w="150" w:type="dxa"/>
              <w:bottom w:w="75" w:type="dxa"/>
              <w:right w:w="150" w:type="dxa"/>
            </w:tcMar>
            <w:vAlign w:val="center"/>
          </w:tcPr>
          <w:p w14:paraId="25857D18">
            <w:pPr>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GB 6675.4</w:t>
            </w:r>
            <w:r>
              <w:rPr>
                <w:rFonts w:hint="eastAsia" w:cs="Times New Roman"/>
                <w:sz w:val="21"/>
                <w:szCs w:val="21"/>
                <w:lang w:eastAsia="zh-CN"/>
              </w:rPr>
              <w:t>—</w:t>
            </w:r>
            <w:r>
              <w:rPr>
                <w:rFonts w:hint="default" w:ascii="Times New Roman" w:hAnsi="Times New Roman" w:cs="Times New Roman"/>
                <w:sz w:val="21"/>
                <w:szCs w:val="21"/>
              </w:rPr>
              <w:t>2014</w:t>
            </w:r>
          </w:p>
          <w:p w14:paraId="5BA4AACC">
            <w:pPr>
              <w:pStyle w:val="2"/>
              <w:rPr>
                <w:rFonts w:hint="default"/>
                <w:lang w:val="en-US" w:eastAsia="zh-CN"/>
              </w:rPr>
            </w:pPr>
            <w:r>
              <w:rPr>
                <w:rFonts w:hint="default"/>
                <w:lang w:val="en-US" w:eastAsia="zh-CN"/>
              </w:rPr>
              <w:t>GB/T 26193—2010或GB/T 30419—2013或“GB/T 32602—2016和GB/T 32603—2016”</w:t>
            </w:r>
          </w:p>
        </w:tc>
      </w:tr>
      <w:tr w14:paraId="610A2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cantSplit/>
          <w:trHeight w:val="397" w:hRule="atLeast"/>
          <w:jc w:val="center"/>
        </w:trPr>
        <w:tc>
          <w:tcPr>
            <w:tcW w:w="398" w:type="pct"/>
            <w:tcBorders>
              <w:tl2br w:val="nil"/>
              <w:tr2bl w:val="nil"/>
            </w:tcBorders>
            <w:tcMar>
              <w:top w:w="75" w:type="dxa"/>
              <w:left w:w="150" w:type="dxa"/>
              <w:bottom w:w="75" w:type="dxa"/>
              <w:right w:w="150" w:type="dxa"/>
            </w:tcMar>
            <w:vAlign w:val="center"/>
          </w:tcPr>
          <w:p w14:paraId="0A5AD70F">
            <w:pPr>
              <w:pStyle w:val="9"/>
              <w:widowControl/>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w:t>
            </w:r>
          </w:p>
        </w:tc>
        <w:tc>
          <w:tcPr>
            <w:tcW w:w="1460" w:type="pct"/>
            <w:tcBorders>
              <w:tl2br w:val="nil"/>
              <w:tr2bl w:val="nil"/>
            </w:tcBorders>
            <w:tcMar>
              <w:top w:w="75" w:type="dxa"/>
              <w:left w:w="150" w:type="dxa"/>
              <w:bottom w:w="75" w:type="dxa"/>
              <w:right w:w="150" w:type="dxa"/>
            </w:tcMar>
            <w:vAlign w:val="center"/>
          </w:tcPr>
          <w:p w14:paraId="57F9410A">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增塑剂</w:t>
            </w:r>
          </w:p>
        </w:tc>
        <w:tc>
          <w:tcPr>
            <w:tcW w:w="1580" w:type="pct"/>
            <w:tcBorders>
              <w:tl2br w:val="nil"/>
              <w:tr2bl w:val="nil"/>
            </w:tcBorders>
            <w:tcMar>
              <w:top w:w="75" w:type="dxa"/>
              <w:left w:w="150" w:type="dxa"/>
              <w:bottom w:w="75" w:type="dxa"/>
              <w:right w:w="150" w:type="dxa"/>
            </w:tcMar>
            <w:vAlign w:val="center"/>
          </w:tcPr>
          <w:p w14:paraId="5726D9DB">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GB 6675.</w:t>
            </w:r>
            <w:r>
              <w:rPr>
                <w:rFonts w:hint="eastAsia" w:cs="Times New Roman"/>
                <w:sz w:val="21"/>
                <w:szCs w:val="21"/>
                <w:lang w:val="en-US" w:eastAsia="zh-CN"/>
              </w:rPr>
              <w:t>1</w:t>
            </w:r>
            <w:r>
              <w:rPr>
                <w:rFonts w:hint="eastAsia" w:cs="Times New Roman"/>
                <w:sz w:val="21"/>
                <w:szCs w:val="21"/>
                <w:lang w:eastAsia="zh-CN"/>
              </w:rPr>
              <w:t>—</w:t>
            </w:r>
            <w:r>
              <w:rPr>
                <w:rFonts w:hint="default" w:ascii="Times New Roman" w:hAnsi="Times New Roman" w:cs="Times New Roman"/>
                <w:sz w:val="21"/>
                <w:szCs w:val="21"/>
              </w:rPr>
              <w:t>2014</w:t>
            </w:r>
          </w:p>
        </w:tc>
        <w:tc>
          <w:tcPr>
            <w:tcW w:w="1559" w:type="pct"/>
            <w:tcBorders>
              <w:tl2br w:val="nil"/>
              <w:tr2bl w:val="nil"/>
            </w:tcBorders>
            <w:tcMar>
              <w:top w:w="75" w:type="dxa"/>
              <w:left w:w="150" w:type="dxa"/>
              <w:bottom w:w="75" w:type="dxa"/>
              <w:right w:w="150" w:type="dxa"/>
            </w:tcMar>
            <w:vAlign w:val="center"/>
          </w:tcPr>
          <w:p w14:paraId="407A71A7">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GB/T 22048</w:t>
            </w:r>
            <w:r>
              <w:rPr>
                <w:rFonts w:hint="eastAsia" w:cs="Times New Roman"/>
                <w:sz w:val="21"/>
                <w:szCs w:val="21"/>
                <w:lang w:eastAsia="zh-CN"/>
              </w:rPr>
              <w:t>—</w:t>
            </w:r>
            <w:r>
              <w:rPr>
                <w:rFonts w:hint="default" w:ascii="Times New Roman" w:hAnsi="Times New Roman" w:cs="Times New Roman"/>
                <w:sz w:val="21"/>
                <w:szCs w:val="21"/>
              </w:rPr>
              <w:t>2022</w:t>
            </w:r>
          </w:p>
        </w:tc>
      </w:tr>
      <w:tr w14:paraId="14024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cantSplit/>
          <w:trHeight w:val="397" w:hRule="atLeast"/>
          <w:jc w:val="center"/>
        </w:trPr>
        <w:tc>
          <w:tcPr>
            <w:tcW w:w="398" w:type="pct"/>
            <w:tcBorders>
              <w:tl2br w:val="nil"/>
              <w:tr2bl w:val="nil"/>
            </w:tcBorders>
            <w:tcMar>
              <w:top w:w="75" w:type="dxa"/>
              <w:left w:w="150" w:type="dxa"/>
              <w:bottom w:w="75" w:type="dxa"/>
              <w:right w:w="150" w:type="dxa"/>
            </w:tcMar>
            <w:vAlign w:val="center"/>
          </w:tcPr>
          <w:p w14:paraId="415234AA">
            <w:pPr>
              <w:pStyle w:val="9"/>
              <w:widowControl/>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w:t>
            </w:r>
          </w:p>
        </w:tc>
        <w:tc>
          <w:tcPr>
            <w:tcW w:w="1460" w:type="pct"/>
            <w:tcBorders>
              <w:tl2br w:val="nil"/>
              <w:tr2bl w:val="nil"/>
            </w:tcBorders>
            <w:tcMar>
              <w:top w:w="75" w:type="dxa"/>
              <w:left w:w="150" w:type="dxa"/>
              <w:bottom w:w="75" w:type="dxa"/>
              <w:right w:w="150" w:type="dxa"/>
            </w:tcMar>
            <w:vAlign w:val="center"/>
          </w:tcPr>
          <w:p w14:paraId="6CC1A249">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易燃性能</w:t>
            </w:r>
          </w:p>
        </w:tc>
        <w:tc>
          <w:tcPr>
            <w:tcW w:w="1580" w:type="pct"/>
            <w:tcBorders>
              <w:tl2br w:val="nil"/>
              <w:tr2bl w:val="nil"/>
            </w:tcBorders>
            <w:tcMar>
              <w:top w:w="75" w:type="dxa"/>
              <w:left w:w="150" w:type="dxa"/>
              <w:bottom w:w="75" w:type="dxa"/>
              <w:right w:w="150" w:type="dxa"/>
            </w:tcMar>
            <w:vAlign w:val="center"/>
          </w:tcPr>
          <w:p w14:paraId="31FF1764">
            <w:pPr>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color w:val="000000"/>
                <w:sz w:val="21"/>
                <w:szCs w:val="21"/>
              </w:rPr>
              <w:t>GB 6675.3</w:t>
            </w:r>
            <w:r>
              <w:rPr>
                <w:rFonts w:hint="eastAsia" w:cs="Times New Roman"/>
                <w:color w:val="000000"/>
                <w:sz w:val="21"/>
                <w:szCs w:val="21"/>
                <w:lang w:eastAsia="zh-CN"/>
              </w:rPr>
              <w:t>—</w:t>
            </w:r>
            <w:r>
              <w:rPr>
                <w:rFonts w:hint="default" w:ascii="Times New Roman" w:hAnsi="Times New Roman" w:cs="Times New Roman"/>
                <w:color w:val="000000"/>
                <w:sz w:val="21"/>
                <w:szCs w:val="21"/>
              </w:rPr>
              <w:t>2014</w:t>
            </w:r>
          </w:p>
        </w:tc>
        <w:tc>
          <w:tcPr>
            <w:tcW w:w="1559" w:type="pct"/>
            <w:tcBorders>
              <w:tl2br w:val="nil"/>
              <w:tr2bl w:val="nil"/>
            </w:tcBorders>
            <w:tcMar>
              <w:top w:w="75" w:type="dxa"/>
              <w:left w:w="150" w:type="dxa"/>
              <w:bottom w:w="75" w:type="dxa"/>
              <w:right w:w="150" w:type="dxa"/>
            </w:tcMar>
            <w:vAlign w:val="center"/>
          </w:tcPr>
          <w:p w14:paraId="499BB025">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color w:val="000000"/>
                <w:sz w:val="21"/>
                <w:szCs w:val="21"/>
              </w:rPr>
              <w:t>GB 6675.3</w:t>
            </w:r>
            <w:r>
              <w:rPr>
                <w:rFonts w:hint="eastAsia" w:cs="Times New Roman"/>
                <w:color w:val="000000"/>
                <w:sz w:val="21"/>
                <w:szCs w:val="21"/>
                <w:lang w:eastAsia="zh-CN"/>
              </w:rPr>
              <w:t>—</w:t>
            </w:r>
            <w:r>
              <w:rPr>
                <w:rFonts w:hint="default" w:ascii="Times New Roman" w:hAnsi="Times New Roman" w:cs="Times New Roman"/>
                <w:color w:val="000000"/>
                <w:sz w:val="21"/>
                <w:szCs w:val="21"/>
              </w:rPr>
              <w:t>2014</w:t>
            </w:r>
          </w:p>
        </w:tc>
      </w:tr>
    </w:tbl>
    <w:p w14:paraId="0B66C82D">
      <w:pPr>
        <w:adjustRightInd w:val="0"/>
        <w:snapToGrid w:val="0"/>
        <w:spacing w:line="440" w:lineRule="exact"/>
        <w:ind w:firstLine="420" w:firstLineChars="200"/>
        <w:rPr>
          <w:color w:val="auto"/>
          <w:szCs w:val="21"/>
          <w:highlight w:val="none"/>
        </w:rPr>
      </w:pPr>
      <w:r>
        <w:rPr>
          <w:rFonts w:hint="eastAsia"/>
          <w:color w:val="auto"/>
          <w:szCs w:val="21"/>
          <w:highlight w:val="none"/>
        </w:rPr>
        <w:t>执行企业标准、团体标准、地方标准的产品，检验项目参照上述内容执行。</w:t>
      </w:r>
    </w:p>
    <w:p w14:paraId="34F72263">
      <w:pPr>
        <w:snapToGrid w:val="0"/>
        <w:spacing w:line="440" w:lineRule="exact"/>
        <w:ind w:firstLine="420" w:firstLineChars="200"/>
        <w:rPr>
          <w:color w:val="auto"/>
          <w:szCs w:val="21"/>
          <w:highlight w:val="none"/>
        </w:rPr>
      </w:pPr>
      <w:r>
        <w:rPr>
          <w:color w:val="auto"/>
          <w:szCs w:val="21"/>
          <w:highlight w:val="none"/>
        </w:rPr>
        <w:t>凡是注日期的文件，其随后所有的修改单（不包括勘误的内容）或修订版不适用于本细则。凡是不注日期的文件，其最新版本适用于本细则。</w:t>
      </w:r>
    </w:p>
    <w:p w14:paraId="7C07B55B">
      <w:pPr>
        <w:spacing w:line="360" w:lineRule="auto"/>
        <w:rPr>
          <w:rFonts w:eastAsia="黑体"/>
          <w:color w:val="auto"/>
          <w:szCs w:val="21"/>
          <w:highlight w:val="none"/>
        </w:rPr>
      </w:pPr>
    </w:p>
    <w:p w14:paraId="174C7F5D">
      <w:pPr>
        <w:spacing w:line="360" w:lineRule="auto"/>
        <w:rPr>
          <w:rFonts w:eastAsia="黑体"/>
          <w:color w:val="auto"/>
          <w:szCs w:val="21"/>
          <w:highlight w:val="none"/>
        </w:rPr>
      </w:pPr>
      <w:r>
        <w:rPr>
          <w:rFonts w:eastAsia="黑体"/>
          <w:color w:val="auto"/>
          <w:szCs w:val="21"/>
          <w:highlight w:val="none"/>
        </w:rPr>
        <w:t>3 判定规则</w:t>
      </w:r>
    </w:p>
    <w:p w14:paraId="37E07284">
      <w:pPr>
        <w:snapToGrid w:val="0"/>
        <w:spacing w:line="440" w:lineRule="exact"/>
        <w:rPr>
          <w:color w:val="auto"/>
          <w:szCs w:val="21"/>
          <w:highlight w:val="none"/>
        </w:rPr>
      </w:pPr>
      <w:r>
        <w:rPr>
          <w:color w:val="auto"/>
          <w:szCs w:val="21"/>
          <w:highlight w:val="none"/>
        </w:rPr>
        <w:t>3.1依据标准</w:t>
      </w:r>
    </w:p>
    <w:p w14:paraId="6A60ABFF">
      <w:pPr>
        <w:adjustRightInd w:val="0"/>
        <w:snapToGrid w:val="0"/>
        <w:spacing w:line="440" w:lineRule="exact"/>
        <w:ind w:firstLine="420" w:firstLineChars="200"/>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GB 6675.1</w:t>
      </w:r>
      <w:r>
        <w:rPr>
          <w:rFonts w:hint="eastAsia" w:cs="Times New Roman"/>
          <w:color w:val="000000"/>
          <w:sz w:val="21"/>
          <w:szCs w:val="21"/>
          <w:lang w:eastAsia="zh-CN"/>
        </w:rPr>
        <w:t>—</w:t>
      </w:r>
      <w:r>
        <w:rPr>
          <w:rFonts w:hint="default" w:ascii="Times New Roman" w:hAnsi="Times New Roman" w:cs="Times New Roman"/>
          <w:color w:val="000000"/>
          <w:sz w:val="21"/>
          <w:szCs w:val="21"/>
        </w:rPr>
        <w:t>2014玩具安全 第1部分：基本规范</w:t>
      </w:r>
    </w:p>
    <w:p w14:paraId="31767F70">
      <w:pPr>
        <w:adjustRightInd w:val="0"/>
        <w:snapToGrid w:val="0"/>
        <w:spacing w:line="440" w:lineRule="exact"/>
        <w:ind w:firstLine="420" w:firstLineChars="200"/>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GB 6675.2</w:t>
      </w:r>
      <w:r>
        <w:rPr>
          <w:rFonts w:hint="eastAsia" w:cs="Times New Roman"/>
          <w:color w:val="000000"/>
          <w:sz w:val="21"/>
          <w:szCs w:val="21"/>
          <w:lang w:eastAsia="zh-CN"/>
        </w:rPr>
        <w:t>—</w:t>
      </w:r>
      <w:r>
        <w:rPr>
          <w:rFonts w:hint="default" w:ascii="Times New Roman" w:hAnsi="Times New Roman" w:cs="Times New Roman"/>
          <w:color w:val="000000"/>
          <w:sz w:val="21"/>
          <w:szCs w:val="21"/>
        </w:rPr>
        <w:t>2014玩具安全 第2部分：机械与物理性能</w:t>
      </w:r>
      <w:r>
        <w:rPr>
          <w:rFonts w:hint="eastAsia" w:cs="Times New Roman"/>
          <w:color w:val="000000"/>
          <w:sz w:val="21"/>
          <w:szCs w:val="21"/>
          <w:lang w:eastAsia="zh-CN"/>
        </w:rPr>
        <w:t>（含第</w:t>
      </w:r>
      <w:r>
        <w:rPr>
          <w:rFonts w:hint="eastAsia" w:cs="Times New Roman"/>
          <w:color w:val="000000"/>
          <w:sz w:val="21"/>
          <w:szCs w:val="21"/>
          <w:lang w:val="en-US" w:eastAsia="zh-CN"/>
        </w:rPr>
        <w:t>1号修改单）</w:t>
      </w:r>
      <w:r>
        <w:rPr>
          <w:rFonts w:hint="default" w:ascii="Times New Roman" w:hAnsi="Times New Roman" w:cs="Times New Roman"/>
          <w:color w:val="000000"/>
          <w:sz w:val="21"/>
          <w:szCs w:val="21"/>
        </w:rPr>
        <w:t xml:space="preserve"> </w:t>
      </w:r>
    </w:p>
    <w:p w14:paraId="35CB15B4">
      <w:pPr>
        <w:adjustRightInd w:val="0"/>
        <w:snapToGrid w:val="0"/>
        <w:spacing w:line="440" w:lineRule="exact"/>
        <w:ind w:firstLine="420" w:firstLineChars="200"/>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GB 6675.3</w:t>
      </w:r>
      <w:r>
        <w:rPr>
          <w:rFonts w:hint="eastAsia" w:cs="Times New Roman"/>
          <w:color w:val="000000"/>
          <w:sz w:val="21"/>
          <w:szCs w:val="21"/>
          <w:lang w:eastAsia="zh-CN"/>
        </w:rPr>
        <w:t>—</w:t>
      </w:r>
      <w:r>
        <w:rPr>
          <w:rFonts w:hint="default" w:ascii="Times New Roman" w:hAnsi="Times New Roman" w:cs="Times New Roman"/>
          <w:color w:val="000000"/>
          <w:sz w:val="21"/>
          <w:szCs w:val="21"/>
        </w:rPr>
        <w:t>2014玩具安全 第3部分：易燃性能</w:t>
      </w:r>
    </w:p>
    <w:p w14:paraId="39426C8A">
      <w:pPr>
        <w:adjustRightInd w:val="0"/>
        <w:snapToGrid w:val="0"/>
        <w:spacing w:line="440" w:lineRule="exact"/>
        <w:ind w:firstLine="420" w:firstLineChars="200"/>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GB 6675.4</w:t>
      </w:r>
      <w:r>
        <w:rPr>
          <w:rFonts w:hint="eastAsia" w:cs="Times New Roman"/>
          <w:color w:val="000000"/>
          <w:sz w:val="21"/>
          <w:szCs w:val="21"/>
          <w:lang w:eastAsia="zh-CN"/>
        </w:rPr>
        <w:t>—</w:t>
      </w:r>
      <w:r>
        <w:rPr>
          <w:rFonts w:hint="default" w:ascii="Times New Roman" w:hAnsi="Times New Roman" w:cs="Times New Roman"/>
          <w:color w:val="000000"/>
          <w:sz w:val="21"/>
          <w:szCs w:val="21"/>
        </w:rPr>
        <w:t>2014玩具安全 第4部分：特定元素的迁移</w:t>
      </w:r>
    </w:p>
    <w:p w14:paraId="44A5B4F9">
      <w:pPr>
        <w:snapToGrid w:val="0"/>
        <w:spacing w:line="440" w:lineRule="exact"/>
        <w:ind w:firstLine="420" w:firstLineChars="200"/>
        <w:rPr>
          <w:color w:val="auto"/>
          <w:szCs w:val="21"/>
          <w:highlight w:val="none"/>
        </w:rPr>
      </w:pPr>
      <w:r>
        <w:rPr>
          <w:color w:val="auto"/>
          <w:szCs w:val="21"/>
          <w:highlight w:val="none"/>
        </w:rPr>
        <w:t>现行有效的企业标准、团体标准、地方标准及产品明示质量要求</w:t>
      </w:r>
    </w:p>
    <w:p w14:paraId="69E949AD">
      <w:pPr>
        <w:snapToGrid w:val="0"/>
        <w:spacing w:line="440" w:lineRule="exact"/>
        <w:rPr>
          <w:color w:val="auto"/>
          <w:szCs w:val="21"/>
          <w:highlight w:val="none"/>
        </w:rPr>
      </w:pPr>
      <w:r>
        <w:rPr>
          <w:color w:val="auto"/>
          <w:szCs w:val="21"/>
          <w:highlight w:val="none"/>
        </w:rPr>
        <w:t>3.2判定原则</w:t>
      </w:r>
    </w:p>
    <w:p w14:paraId="63506D8B">
      <w:pPr>
        <w:snapToGrid w:val="0"/>
        <w:spacing w:line="440" w:lineRule="exact"/>
        <w:ind w:firstLine="420" w:firstLineChars="200"/>
        <w:rPr>
          <w:color w:val="auto"/>
          <w:szCs w:val="21"/>
          <w:highlight w:val="none"/>
        </w:rPr>
      </w:pPr>
      <w:r>
        <w:rPr>
          <w:color w:val="auto"/>
          <w:szCs w:val="21"/>
          <w:highlight w:val="none"/>
        </w:rPr>
        <w:t>经检验，检验项目全部合格，判定为被抽查产品</w:t>
      </w:r>
      <w:r>
        <w:rPr>
          <w:rFonts w:hint="eastAsia"/>
          <w:color w:val="auto"/>
          <w:szCs w:val="21"/>
          <w:highlight w:val="none"/>
        </w:rPr>
        <w:t>所检项目未发现不</w:t>
      </w:r>
      <w:r>
        <w:rPr>
          <w:color w:val="auto"/>
          <w:szCs w:val="21"/>
          <w:highlight w:val="none"/>
        </w:rPr>
        <w:t>合格；检验项目中任一项或一项以上不合格，判定为被抽查产品不合格。</w:t>
      </w:r>
    </w:p>
    <w:p w14:paraId="08B12729">
      <w:pPr>
        <w:snapToGrid w:val="0"/>
        <w:spacing w:line="440" w:lineRule="exact"/>
        <w:ind w:firstLine="417" w:firstLineChars="199"/>
        <w:rPr>
          <w:color w:val="auto"/>
          <w:szCs w:val="21"/>
          <w:highlight w:val="none"/>
        </w:rPr>
      </w:pPr>
      <w:r>
        <w:rPr>
          <w:color w:val="auto"/>
          <w:szCs w:val="21"/>
          <w:highlight w:val="none"/>
        </w:rPr>
        <w:t>若被检产品明示的质量要求高于本细则中检验项目依据的标准要求时，应按被检产品明示的质量要求判定。</w:t>
      </w:r>
    </w:p>
    <w:p w14:paraId="6F75145E">
      <w:pPr>
        <w:snapToGrid w:val="0"/>
        <w:spacing w:line="440" w:lineRule="exact"/>
        <w:ind w:firstLine="417" w:firstLineChars="199"/>
        <w:rPr>
          <w:color w:val="auto"/>
          <w:szCs w:val="21"/>
          <w:highlight w:val="none"/>
        </w:rPr>
      </w:pPr>
      <w:r>
        <w:rPr>
          <w:color w:val="auto"/>
          <w:szCs w:val="21"/>
          <w:highlight w:val="none"/>
        </w:rPr>
        <w:t>若被检产品明示的质量要求低于本细则中检验项目依据的强制性标准要求时，应按照强制性标准要求判定。</w:t>
      </w:r>
    </w:p>
    <w:p w14:paraId="25B5FB22">
      <w:pPr>
        <w:snapToGrid w:val="0"/>
        <w:spacing w:line="440" w:lineRule="exact"/>
        <w:ind w:firstLine="417" w:firstLineChars="199"/>
        <w:rPr>
          <w:color w:val="auto"/>
          <w:szCs w:val="21"/>
          <w:highlight w:val="none"/>
        </w:rPr>
      </w:pPr>
      <w:r>
        <w:rPr>
          <w:color w:val="auto"/>
          <w:szCs w:val="21"/>
          <w:highlight w:val="none"/>
        </w:rPr>
        <w:t>若被检产品明示的质量要求低于或包含本细则中检验项目依据的推荐性标准要求时，应以被检产品明示的质量要求判定。</w:t>
      </w:r>
    </w:p>
    <w:p w14:paraId="37CB3A94">
      <w:pPr>
        <w:snapToGrid w:val="0"/>
        <w:spacing w:line="440" w:lineRule="exact"/>
        <w:ind w:firstLine="417" w:firstLineChars="199"/>
        <w:rPr>
          <w:color w:val="auto"/>
          <w:szCs w:val="21"/>
          <w:highlight w:val="none"/>
        </w:rPr>
      </w:pPr>
      <w:r>
        <w:rPr>
          <w:color w:val="auto"/>
          <w:szCs w:val="21"/>
          <w:highlight w:val="none"/>
        </w:rPr>
        <w:t>若被检产品明示的质量要求缺少本细则中检验项目依据的强制性标准要求时，应按照强制性标准要求判定。</w:t>
      </w:r>
    </w:p>
    <w:p w14:paraId="101AF5BE">
      <w:pPr>
        <w:snapToGrid w:val="0"/>
        <w:spacing w:line="440" w:lineRule="exact"/>
        <w:ind w:firstLine="417" w:firstLineChars="199"/>
        <w:rPr>
          <w:color w:val="auto"/>
          <w:szCs w:val="21"/>
          <w:highlight w:val="none"/>
        </w:rPr>
      </w:pPr>
      <w:r>
        <w:rPr>
          <w:color w:val="auto"/>
          <w:szCs w:val="21"/>
          <w:highlight w:val="none"/>
        </w:rPr>
        <w:t>若被检产品明示的质量要求缺少本细则中检验项目依据的推荐性标准要求时，该项目不参与判定。</w:t>
      </w:r>
    </w:p>
    <w:sectPr>
      <w:headerReference r:id="rId3" w:type="default"/>
      <w:footerReference r:id="rId4" w:type="default"/>
      <w:footerReference r:id="rId5" w:type="even"/>
      <w:pgSz w:w="11906" w:h="16838"/>
      <w:pgMar w:top="1985" w:right="1474" w:bottom="1644" w:left="1474" w:header="851"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16B6A">
    <w:pPr>
      <w:pStyle w:val="6"/>
      <w:jc w:val="center"/>
    </w:pPr>
    <w:r>
      <w:rPr>
        <w:lang w:val="zh-CN"/>
      </w:rPr>
      <w:fldChar w:fldCharType="begin"/>
    </w:r>
    <w:r>
      <w:rPr>
        <w:lang w:val="zh-CN"/>
      </w:rPr>
      <w:instrText xml:space="preserve"> PAGE   \* MERGEFORMAT </w:instrText>
    </w:r>
    <w:r>
      <w:rPr>
        <w:lang w:val="zh-CN"/>
      </w:rPr>
      <w:fldChar w:fldCharType="separate"/>
    </w:r>
    <w:r>
      <w:t>3</w:t>
    </w:r>
    <w:r>
      <w:rPr>
        <w:lang w:val="zh-CN"/>
      </w:rPr>
      <w:fldChar w:fldCharType="end"/>
    </w:r>
  </w:p>
  <w:p w14:paraId="0D7BFEA2">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D5260">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2</w:t>
    </w:r>
    <w:r>
      <w:fldChar w:fldCharType="end"/>
    </w:r>
  </w:p>
  <w:p w14:paraId="3EA6FF08">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D5356">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fa65871d-bb24-4261-bf54-c1e60b449f9a"/>
  </w:docVars>
  <w:rsids>
    <w:rsidRoot w:val="00172A27"/>
    <w:rsid w:val="00051A44"/>
    <w:rsid w:val="00070F23"/>
    <w:rsid w:val="00072772"/>
    <w:rsid w:val="00081CBD"/>
    <w:rsid w:val="000976DE"/>
    <w:rsid w:val="000A243A"/>
    <w:rsid w:val="000A7E74"/>
    <w:rsid w:val="000B6AB8"/>
    <w:rsid w:val="000E64DB"/>
    <w:rsid w:val="000F0046"/>
    <w:rsid w:val="001141F4"/>
    <w:rsid w:val="0013003A"/>
    <w:rsid w:val="00144BFC"/>
    <w:rsid w:val="00161CC9"/>
    <w:rsid w:val="001707D8"/>
    <w:rsid w:val="00172A27"/>
    <w:rsid w:val="001809DD"/>
    <w:rsid w:val="00191922"/>
    <w:rsid w:val="001924F2"/>
    <w:rsid w:val="001A150E"/>
    <w:rsid w:val="001E297A"/>
    <w:rsid w:val="001E2A06"/>
    <w:rsid w:val="00213ED0"/>
    <w:rsid w:val="00253624"/>
    <w:rsid w:val="00266A43"/>
    <w:rsid w:val="00292420"/>
    <w:rsid w:val="002B38DA"/>
    <w:rsid w:val="002D7F8A"/>
    <w:rsid w:val="002E0D1D"/>
    <w:rsid w:val="002F08D6"/>
    <w:rsid w:val="002F1052"/>
    <w:rsid w:val="003102FB"/>
    <w:rsid w:val="003203A3"/>
    <w:rsid w:val="00340503"/>
    <w:rsid w:val="00384DC2"/>
    <w:rsid w:val="003A089D"/>
    <w:rsid w:val="003A667F"/>
    <w:rsid w:val="003C388C"/>
    <w:rsid w:val="003E4B35"/>
    <w:rsid w:val="003E5EF2"/>
    <w:rsid w:val="003E61BF"/>
    <w:rsid w:val="00406CE0"/>
    <w:rsid w:val="00417405"/>
    <w:rsid w:val="0042066B"/>
    <w:rsid w:val="00422D1E"/>
    <w:rsid w:val="00445E86"/>
    <w:rsid w:val="00470539"/>
    <w:rsid w:val="00474E04"/>
    <w:rsid w:val="00487384"/>
    <w:rsid w:val="004A2365"/>
    <w:rsid w:val="004B7A3F"/>
    <w:rsid w:val="004C0D07"/>
    <w:rsid w:val="004D0C5A"/>
    <w:rsid w:val="004D370C"/>
    <w:rsid w:val="004E1396"/>
    <w:rsid w:val="00521903"/>
    <w:rsid w:val="005255D7"/>
    <w:rsid w:val="0055220B"/>
    <w:rsid w:val="00563EBC"/>
    <w:rsid w:val="00564F4C"/>
    <w:rsid w:val="0058351D"/>
    <w:rsid w:val="00583F6C"/>
    <w:rsid w:val="00597FF6"/>
    <w:rsid w:val="005B12AD"/>
    <w:rsid w:val="005B7ED8"/>
    <w:rsid w:val="005D160F"/>
    <w:rsid w:val="00610555"/>
    <w:rsid w:val="006369D6"/>
    <w:rsid w:val="00650A05"/>
    <w:rsid w:val="006C54F6"/>
    <w:rsid w:val="006E0056"/>
    <w:rsid w:val="006F0971"/>
    <w:rsid w:val="0072334C"/>
    <w:rsid w:val="00726111"/>
    <w:rsid w:val="0075488B"/>
    <w:rsid w:val="00754B02"/>
    <w:rsid w:val="0078412F"/>
    <w:rsid w:val="007863DC"/>
    <w:rsid w:val="007C51AC"/>
    <w:rsid w:val="007C599F"/>
    <w:rsid w:val="008141C1"/>
    <w:rsid w:val="00826E57"/>
    <w:rsid w:val="00845A82"/>
    <w:rsid w:val="00895BEA"/>
    <w:rsid w:val="008A3497"/>
    <w:rsid w:val="008B172A"/>
    <w:rsid w:val="008E06BE"/>
    <w:rsid w:val="008E7DAB"/>
    <w:rsid w:val="008F789C"/>
    <w:rsid w:val="009157F8"/>
    <w:rsid w:val="00917A54"/>
    <w:rsid w:val="009251B7"/>
    <w:rsid w:val="00930B55"/>
    <w:rsid w:val="00950510"/>
    <w:rsid w:val="009830E2"/>
    <w:rsid w:val="0099448E"/>
    <w:rsid w:val="009A0C29"/>
    <w:rsid w:val="009A18FF"/>
    <w:rsid w:val="009A377D"/>
    <w:rsid w:val="009A44A6"/>
    <w:rsid w:val="009B098B"/>
    <w:rsid w:val="009C5BE7"/>
    <w:rsid w:val="009F06B0"/>
    <w:rsid w:val="00A00931"/>
    <w:rsid w:val="00A05D9C"/>
    <w:rsid w:val="00A11F30"/>
    <w:rsid w:val="00A12D5C"/>
    <w:rsid w:val="00A21847"/>
    <w:rsid w:val="00A43553"/>
    <w:rsid w:val="00A609A0"/>
    <w:rsid w:val="00A77F31"/>
    <w:rsid w:val="00AE3223"/>
    <w:rsid w:val="00B0538A"/>
    <w:rsid w:val="00BC1DC4"/>
    <w:rsid w:val="00BC28FE"/>
    <w:rsid w:val="00BC413D"/>
    <w:rsid w:val="00BF7250"/>
    <w:rsid w:val="00C1602F"/>
    <w:rsid w:val="00C26074"/>
    <w:rsid w:val="00C62A44"/>
    <w:rsid w:val="00C63DD3"/>
    <w:rsid w:val="00C64CFE"/>
    <w:rsid w:val="00C6528A"/>
    <w:rsid w:val="00C83B0A"/>
    <w:rsid w:val="00C9324C"/>
    <w:rsid w:val="00C9521C"/>
    <w:rsid w:val="00CA7DB8"/>
    <w:rsid w:val="00CB445A"/>
    <w:rsid w:val="00CC33F8"/>
    <w:rsid w:val="00CC7D0D"/>
    <w:rsid w:val="00CD1580"/>
    <w:rsid w:val="00CE1873"/>
    <w:rsid w:val="00CE1E0C"/>
    <w:rsid w:val="00CE277E"/>
    <w:rsid w:val="00CE2BB2"/>
    <w:rsid w:val="00CE6143"/>
    <w:rsid w:val="00CE7FE1"/>
    <w:rsid w:val="00D000E0"/>
    <w:rsid w:val="00D35B38"/>
    <w:rsid w:val="00D56867"/>
    <w:rsid w:val="00D64EE6"/>
    <w:rsid w:val="00D64F0B"/>
    <w:rsid w:val="00D71EAE"/>
    <w:rsid w:val="00D82D31"/>
    <w:rsid w:val="00D830E9"/>
    <w:rsid w:val="00DC37F5"/>
    <w:rsid w:val="00E01C49"/>
    <w:rsid w:val="00E02A7F"/>
    <w:rsid w:val="00E07880"/>
    <w:rsid w:val="00E12124"/>
    <w:rsid w:val="00E1707D"/>
    <w:rsid w:val="00E275C8"/>
    <w:rsid w:val="00E35E78"/>
    <w:rsid w:val="00E467DF"/>
    <w:rsid w:val="00E53EF2"/>
    <w:rsid w:val="00E636A3"/>
    <w:rsid w:val="00E65B17"/>
    <w:rsid w:val="00E82621"/>
    <w:rsid w:val="00EA5ED4"/>
    <w:rsid w:val="00EB5611"/>
    <w:rsid w:val="00ED2DED"/>
    <w:rsid w:val="00EF28C3"/>
    <w:rsid w:val="00F056E2"/>
    <w:rsid w:val="00F06BED"/>
    <w:rsid w:val="00F21CF4"/>
    <w:rsid w:val="00F25BB4"/>
    <w:rsid w:val="00F465A4"/>
    <w:rsid w:val="00F77C9A"/>
    <w:rsid w:val="00F97B9D"/>
    <w:rsid w:val="00FB0FE1"/>
    <w:rsid w:val="00FB576C"/>
    <w:rsid w:val="00FC2905"/>
    <w:rsid w:val="00FC5382"/>
    <w:rsid w:val="00FD2AA6"/>
    <w:rsid w:val="00FE39D9"/>
    <w:rsid w:val="00FE7E8A"/>
    <w:rsid w:val="00FF0D73"/>
    <w:rsid w:val="02AE01CC"/>
    <w:rsid w:val="04166388"/>
    <w:rsid w:val="04756CA5"/>
    <w:rsid w:val="04DB4CDB"/>
    <w:rsid w:val="07EA2C20"/>
    <w:rsid w:val="0881146C"/>
    <w:rsid w:val="090769BB"/>
    <w:rsid w:val="09471A07"/>
    <w:rsid w:val="09932B7D"/>
    <w:rsid w:val="0A8138B8"/>
    <w:rsid w:val="0B9B19E7"/>
    <w:rsid w:val="0E590C93"/>
    <w:rsid w:val="0FBC4BC1"/>
    <w:rsid w:val="115B06EA"/>
    <w:rsid w:val="117B7687"/>
    <w:rsid w:val="12675F5F"/>
    <w:rsid w:val="130651C0"/>
    <w:rsid w:val="14203E74"/>
    <w:rsid w:val="14904572"/>
    <w:rsid w:val="15001D0E"/>
    <w:rsid w:val="15962F1E"/>
    <w:rsid w:val="1637278D"/>
    <w:rsid w:val="185F17B0"/>
    <w:rsid w:val="18B4767B"/>
    <w:rsid w:val="1AE945EA"/>
    <w:rsid w:val="1B146698"/>
    <w:rsid w:val="1B346763"/>
    <w:rsid w:val="1B3F68A5"/>
    <w:rsid w:val="1B877235"/>
    <w:rsid w:val="1C690403"/>
    <w:rsid w:val="1D921E40"/>
    <w:rsid w:val="1DB422BC"/>
    <w:rsid w:val="1ECE699F"/>
    <w:rsid w:val="1F274302"/>
    <w:rsid w:val="203C025F"/>
    <w:rsid w:val="226A48A5"/>
    <w:rsid w:val="22783080"/>
    <w:rsid w:val="229D6ED2"/>
    <w:rsid w:val="231B27BC"/>
    <w:rsid w:val="25C04E77"/>
    <w:rsid w:val="278827D9"/>
    <w:rsid w:val="282272C2"/>
    <w:rsid w:val="29727E07"/>
    <w:rsid w:val="2A8F0449"/>
    <w:rsid w:val="2B3F4BA0"/>
    <w:rsid w:val="2C0927BF"/>
    <w:rsid w:val="2C574478"/>
    <w:rsid w:val="2DE23166"/>
    <w:rsid w:val="30566131"/>
    <w:rsid w:val="30732513"/>
    <w:rsid w:val="31A52F0C"/>
    <w:rsid w:val="32D93FCF"/>
    <w:rsid w:val="366B7667"/>
    <w:rsid w:val="377C7400"/>
    <w:rsid w:val="383D244F"/>
    <w:rsid w:val="3E1C2E2C"/>
    <w:rsid w:val="3EA242D1"/>
    <w:rsid w:val="41A324C3"/>
    <w:rsid w:val="41FE0330"/>
    <w:rsid w:val="42E02A08"/>
    <w:rsid w:val="43746378"/>
    <w:rsid w:val="44F1580E"/>
    <w:rsid w:val="472C4C55"/>
    <w:rsid w:val="475F6EEB"/>
    <w:rsid w:val="4A486567"/>
    <w:rsid w:val="4A761E4D"/>
    <w:rsid w:val="4AD856DA"/>
    <w:rsid w:val="4BAD7834"/>
    <w:rsid w:val="4C617626"/>
    <w:rsid w:val="4D8C2EEA"/>
    <w:rsid w:val="4F0E6C51"/>
    <w:rsid w:val="50243DC2"/>
    <w:rsid w:val="52DB7AE0"/>
    <w:rsid w:val="52ED60A5"/>
    <w:rsid w:val="54CF254E"/>
    <w:rsid w:val="557B0928"/>
    <w:rsid w:val="55CC4CE0"/>
    <w:rsid w:val="55FC102D"/>
    <w:rsid w:val="570B70C9"/>
    <w:rsid w:val="57295110"/>
    <w:rsid w:val="58BE74A0"/>
    <w:rsid w:val="5998534B"/>
    <w:rsid w:val="5BA65FD3"/>
    <w:rsid w:val="5C1A6EAD"/>
    <w:rsid w:val="5F9750F4"/>
    <w:rsid w:val="6006326F"/>
    <w:rsid w:val="603161B4"/>
    <w:rsid w:val="606E0AA6"/>
    <w:rsid w:val="61E229ED"/>
    <w:rsid w:val="6312030A"/>
    <w:rsid w:val="6427295E"/>
    <w:rsid w:val="65C251A5"/>
    <w:rsid w:val="67C617B5"/>
    <w:rsid w:val="67F1641A"/>
    <w:rsid w:val="6AC449B9"/>
    <w:rsid w:val="6ADE12E5"/>
    <w:rsid w:val="6B0F71A5"/>
    <w:rsid w:val="6B3D5917"/>
    <w:rsid w:val="6EB73D00"/>
    <w:rsid w:val="6F3A71FA"/>
    <w:rsid w:val="6F5A5D48"/>
    <w:rsid w:val="6FD9375B"/>
    <w:rsid w:val="71025CA2"/>
    <w:rsid w:val="71F9338B"/>
    <w:rsid w:val="72102637"/>
    <w:rsid w:val="72127AC6"/>
    <w:rsid w:val="727E5C2C"/>
    <w:rsid w:val="73431F82"/>
    <w:rsid w:val="73F42ED0"/>
    <w:rsid w:val="743B4721"/>
    <w:rsid w:val="756A219E"/>
    <w:rsid w:val="768A78C8"/>
    <w:rsid w:val="768C443B"/>
    <w:rsid w:val="76D474B3"/>
    <w:rsid w:val="77286B82"/>
    <w:rsid w:val="77F263D0"/>
    <w:rsid w:val="79077078"/>
    <w:rsid w:val="79980404"/>
    <w:rsid w:val="79DB17DE"/>
    <w:rsid w:val="7B42766E"/>
    <w:rsid w:val="7C18217D"/>
    <w:rsid w:val="7C610620"/>
    <w:rsid w:val="7DA82F91"/>
    <w:rsid w:val="7DAF48DD"/>
    <w:rsid w:val="7E665422"/>
    <w:rsid w:val="7F217CAB"/>
    <w:rsid w:val="9B7E3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annotation text"/>
    <w:basedOn w:val="1"/>
    <w:unhideWhenUsed/>
    <w:qFormat/>
    <w:uiPriority w:val="99"/>
    <w:pPr>
      <w:jc w:val="left"/>
    </w:pPr>
  </w:style>
  <w:style w:type="paragraph" w:styleId="4">
    <w:name w:val="Plain Text"/>
    <w:basedOn w:val="1"/>
    <w:link w:val="14"/>
    <w:unhideWhenUsed/>
    <w:qFormat/>
    <w:uiPriority w:val="99"/>
    <w:rPr>
      <w:rFonts w:ascii="宋体" w:hAnsi="Courier New"/>
      <w:kern w:val="0"/>
      <w:sz w:val="20"/>
      <w:szCs w:val="20"/>
    </w:rPr>
  </w:style>
  <w:style w:type="paragraph" w:styleId="5">
    <w:name w:val="Balloon Text"/>
    <w:basedOn w:val="1"/>
    <w:link w:val="15"/>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toc 2"/>
    <w:basedOn w:val="1"/>
    <w:next w:val="1"/>
    <w:qFormat/>
    <w:uiPriority w:val="0"/>
    <w:pPr>
      <w:ind w:left="420" w:leftChars="200"/>
    </w:pPr>
  </w:style>
  <w:style w:type="paragraph" w:styleId="9">
    <w:name w:val="Normal (Web)"/>
    <w:basedOn w:val="1"/>
    <w:qFormat/>
    <w:uiPriority w:val="0"/>
    <w:pPr>
      <w:spacing w:before="100" w:beforeAutospacing="1" w:after="100" w:afterAutospacing="1"/>
      <w:jc w:val="left"/>
    </w:pPr>
    <w:rPr>
      <w:kern w:val="0"/>
      <w:sz w:val="24"/>
    </w:rPr>
  </w:style>
  <w:style w:type="table" w:styleId="11">
    <w:name w:val="Table Grid"/>
    <w:basedOn w:val="1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customStyle="1" w:styleId="14">
    <w:name w:val="纯文本 字符"/>
    <w:link w:val="4"/>
    <w:qFormat/>
    <w:uiPriority w:val="99"/>
    <w:rPr>
      <w:rFonts w:ascii="宋体" w:hAnsi="Courier New"/>
    </w:rPr>
  </w:style>
  <w:style w:type="character" w:customStyle="1" w:styleId="15">
    <w:name w:val="批注框文本 字符"/>
    <w:link w:val="5"/>
    <w:semiHidden/>
    <w:qFormat/>
    <w:uiPriority w:val="99"/>
    <w:rPr>
      <w:kern w:val="2"/>
      <w:sz w:val="18"/>
      <w:szCs w:val="18"/>
    </w:rPr>
  </w:style>
  <w:style w:type="character" w:customStyle="1" w:styleId="16">
    <w:name w:val="页脚 字符"/>
    <w:link w:val="6"/>
    <w:qFormat/>
    <w:uiPriority w:val="99"/>
    <w:rPr>
      <w:kern w:val="2"/>
      <w:sz w:val="18"/>
      <w:szCs w:val="18"/>
    </w:rPr>
  </w:style>
  <w:style w:type="character" w:customStyle="1" w:styleId="17">
    <w:name w:val="页眉 字符"/>
    <w:link w:val="7"/>
    <w:semiHidden/>
    <w:qFormat/>
    <w:uiPriority w:val="99"/>
    <w:rPr>
      <w:kern w:val="2"/>
      <w:sz w:val="18"/>
      <w:szCs w:val="18"/>
    </w:rPr>
  </w:style>
  <w:style w:type="paragraph" w:customStyle="1" w:styleId="18">
    <w:name w:val="列出段落1"/>
    <w:basedOn w:val="1"/>
    <w:qFormat/>
    <w:uiPriority w:val="34"/>
    <w:pPr>
      <w:ind w:firstLine="420" w:firstLineChars="200"/>
    </w:pPr>
    <w:rPr>
      <w:rFonts w:ascii="Calibri" w:hAnsi="Calibri"/>
      <w:szCs w:val="22"/>
    </w:rPr>
  </w:style>
  <w:style w:type="paragraph" w:customStyle="1" w:styleId="19">
    <w:name w:val="_Style 15"/>
    <w:unhideWhenUsed/>
    <w:qFormat/>
    <w:uiPriority w:val="99"/>
    <w:rPr>
      <w:rFonts w:ascii="Times New Roman" w:hAnsi="Times New Roman" w:eastAsia="宋体" w:cs="Times New Roman"/>
      <w:kern w:val="2"/>
      <w:sz w:val="21"/>
      <w:szCs w:val="24"/>
      <w:lang w:val="en-US" w:eastAsia="zh-CN" w:bidi="ar-SA"/>
    </w:rPr>
  </w:style>
  <w:style w:type="paragraph" w:customStyle="1" w:styleId="20">
    <w:name w:val="Table Paragraph"/>
    <w:basedOn w:val="1"/>
    <w:qFormat/>
    <w:uiPriority w:val="1"/>
    <w:rPr>
      <w:rFonts w:ascii="宋体" w:hAnsi="宋体" w:cs="宋体"/>
      <w:lang w:val="zh-CN" w:bidi="zh-CN"/>
    </w:rPr>
  </w:style>
  <w:style w:type="paragraph" w:styleId="21">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Legend (Beijing) Limited</Company>
  <Pages>2</Pages>
  <Words>741</Words>
  <Characters>854</Characters>
  <Lines>16</Lines>
  <Paragraphs>4</Paragraphs>
  <TotalTime>4</TotalTime>
  <ScaleCrop>false</ScaleCrop>
  <LinksUpToDate>false</LinksUpToDate>
  <CharactersWithSpaces>874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2024-04-25T00:42:00Z</dcterms:created>
  <dc:creator>Legend User</dc:creator>
  <cp:lastModifiedBy>zoey</cp:lastModifiedBy>
  <cp:lastPrinted>2026-04-15T06:33:00Z</cp:lastPrinted>
  <dcterms:modified xsi:type="dcterms:W3CDTF">2026-08-14T01:04:21Z</dcterms:modified>
  <dc:title>××产品质量监督抽查实施细则</dc:title>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E565D08F418245C5AC0D07ACA95A9B93_13</vt:lpwstr>
  </property>
  <property fmtid="{D5CDD505-2E9C-101B-9397-08002B2CF9AE}" pid="4" name="KSOTemplateDocerSaveRecord">
    <vt:lpwstr>eyJoZGlkIjoiNTI0Mjc1NGYzYzllYzI2NDU4ODY2YTk1YTkxYWE5YWUiLCJ1c2VySWQiOiI4MDM4NjM2NTQifQ==</vt:lpwstr>
  </property>
</Properties>
</file>