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40" w:lineRule="exact"/>
        <w:jc w:val="center"/>
        <w:rPr>
          <w:rFonts w:hint="eastAsia" w:ascii="Times New Roman" w:hAnsi="Times New Roman" w:eastAsia="方正小标宋简体" w:cs="Times New Roman"/>
          <w:color w:val="auto"/>
          <w:sz w:val="32"/>
          <w:szCs w:val="32"/>
          <w:highlight w:val="none"/>
        </w:rPr>
      </w:pPr>
      <w:r>
        <w:rPr>
          <w:rFonts w:hint="eastAsia" w:ascii="Times New Roman" w:hAnsi="Times New Roman" w:eastAsia="方正小标宋简体" w:cs="Times New Roman"/>
          <w:color w:val="auto"/>
          <w:sz w:val="32"/>
          <w:szCs w:val="32"/>
          <w:highlight w:val="none"/>
        </w:rPr>
        <w:t>辽宁省儿童推车产品质量监督抽查实施细则</w:t>
      </w:r>
    </w:p>
    <w:p>
      <w:pPr>
        <w:adjustRightInd w:val="0"/>
        <w:snapToGrid w:val="0"/>
        <w:spacing w:line="440" w:lineRule="exact"/>
        <w:jc w:val="center"/>
        <w:rPr>
          <w:rFonts w:eastAsia="方正小标宋简体"/>
          <w:color w:val="auto"/>
          <w:sz w:val="32"/>
          <w:szCs w:val="32"/>
          <w:highlight w:val="none"/>
        </w:rPr>
      </w:pPr>
    </w:p>
    <w:p>
      <w:pPr>
        <w:snapToGrid w:val="0"/>
        <w:spacing w:line="440" w:lineRule="exact"/>
        <w:rPr>
          <w:rFonts w:eastAsia="黑体"/>
          <w:color w:val="auto"/>
          <w:szCs w:val="21"/>
          <w:highlight w:val="none"/>
        </w:rPr>
      </w:pPr>
      <w:r>
        <w:rPr>
          <w:rFonts w:eastAsia="黑体"/>
          <w:color w:val="auto"/>
          <w:szCs w:val="21"/>
          <w:highlight w:val="none"/>
        </w:rPr>
        <w:t>1 抽样方法</w:t>
      </w:r>
    </w:p>
    <w:p>
      <w:pPr>
        <w:snapToGrid w:val="0"/>
        <w:spacing w:line="440" w:lineRule="exact"/>
        <w:ind w:firstLine="420" w:firstLineChars="200"/>
        <w:rPr>
          <w:color w:val="auto"/>
          <w:szCs w:val="21"/>
          <w:highlight w:val="none"/>
        </w:rPr>
      </w:pPr>
      <w:r>
        <w:rPr>
          <w:color w:val="auto"/>
          <w:szCs w:val="21"/>
          <w:highlight w:val="none"/>
        </w:rPr>
        <w:t>以随机抽样的方式在被抽样生产</w:t>
      </w:r>
      <w:bookmarkStart w:id="0" w:name="_GoBack"/>
      <w:bookmarkEnd w:id="0"/>
      <w:r>
        <w:rPr>
          <w:color w:val="auto"/>
          <w:szCs w:val="21"/>
          <w:highlight w:val="none"/>
        </w:rPr>
        <w:t>者、销售者的待销产品中抽取。</w:t>
      </w:r>
    </w:p>
    <w:p>
      <w:pPr>
        <w:snapToGrid w:val="0"/>
        <w:spacing w:line="440" w:lineRule="exact"/>
        <w:ind w:firstLine="420" w:firstLineChars="200"/>
        <w:rPr>
          <w:color w:val="auto"/>
          <w:szCs w:val="21"/>
          <w:highlight w:val="none"/>
        </w:rPr>
      </w:pPr>
      <w:r>
        <w:rPr>
          <w:color w:val="auto"/>
          <w:szCs w:val="21"/>
          <w:highlight w:val="none"/>
        </w:rPr>
        <w:t>随机数一般可使用随机数表等方法产生。</w:t>
      </w:r>
    </w:p>
    <w:p>
      <w:pPr>
        <w:snapToGrid w:val="0"/>
        <w:spacing w:line="440" w:lineRule="exact"/>
        <w:ind w:firstLine="420" w:firstLineChars="200"/>
        <w:rPr>
          <w:color w:val="auto"/>
          <w:szCs w:val="21"/>
          <w:highlight w:val="none"/>
        </w:rPr>
      </w:pPr>
      <w:r>
        <w:rPr>
          <w:rFonts w:hint="eastAsia"/>
          <w:color w:val="auto"/>
          <w:szCs w:val="21"/>
          <w:highlight w:val="none"/>
        </w:rPr>
        <w:t>每批次产品抽取样品2</w:t>
      </w:r>
      <w:r>
        <w:rPr>
          <w:rFonts w:hint="eastAsia"/>
          <w:color w:val="auto"/>
          <w:szCs w:val="21"/>
          <w:highlight w:val="none"/>
          <w:lang w:val="en-US" w:eastAsia="zh-CN"/>
        </w:rPr>
        <w:t>辆</w:t>
      </w:r>
      <w:r>
        <w:rPr>
          <w:rFonts w:hint="eastAsia"/>
          <w:color w:val="auto"/>
          <w:szCs w:val="21"/>
          <w:highlight w:val="none"/>
        </w:rPr>
        <w:t>，其中1</w:t>
      </w:r>
      <w:r>
        <w:rPr>
          <w:rFonts w:hint="eastAsia"/>
          <w:color w:val="auto"/>
          <w:szCs w:val="21"/>
          <w:highlight w:val="none"/>
          <w:lang w:val="en-US" w:eastAsia="zh-CN"/>
        </w:rPr>
        <w:t>辆</w:t>
      </w:r>
      <w:r>
        <w:rPr>
          <w:rFonts w:hint="eastAsia"/>
          <w:color w:val="auto"/>
          <w:szCs w:val="21"/>
          <w:highlight w:val="none"/>
        </w:rPr>
        <w:t>作为检验样品，1</w:t>
      </w:r>
      <w:r>
        <w:rPr>
          <w:rFonts w:hint="eastAsia"/>
          <w:color w:val="auto"/>
          <w:szCs w:val="21"/>
          <w:highlight w:val="none"/>
          <w:lang w:val="en-US" w:eastAsia="zh-CN"/>
        </w:rPr>
        <w:t>辆</w:t>
      </w:r>
      <w:r>
        <w:rPr>
          <w:rFonts w:hint="eastAsia"/>
          <w:color w:val="auto"/>
          <w:szCs w:val="21"/>
          <w:highlight w:val="none"/>
        </w:rPr>
        <w:t>作为备用样品。</w:t>
      </w:r>
    </w:p>
    <w:p>
      <w:pPr>
        <w:snapToGrid w:val="0"/>
        <w:spacing w:line="440" w:lineRule="exact"/>
        <w:rPr>
          <w:rFonts w:eastAsia="黑体"/>
          <w:color w:val="auto"/>
          <w:szCs w:val="21"/>
          <w:highlight w:val="none"/>
        </w:rPr>
      </w:pPr>
    </w:p>
    <w:p>
      <w:pPr>
        <w:snapToGrid w:val="0"/>
        <w:spacing w:line="440" w:lineRule="exact"/>
        <w:rPr>
          <w:rFonts w:eastAsia="黑体"/>
          <w:color w:val="auto"/>
          <w:szCs w:val="21"/>
          <w:highlight w:val="none"/>
        </w:rPr>
      </w:pPr>
      <w:r>
        <w:rPr>
          <w:rFonts w:eastAsia="黑体"/>
          <w:color w:val="auto"/>
          <w:szCs w:val="21"/>
          <w:highlight w:val="none"/>
        </w:rPr>
        <w:t>2 检验依据</w:t>
      </w:r>
    </w:p>
    <w:p>
      <w:pPr>
        <w:pStyle w:val="2"/>
      </w:pPr>
    </w:p>
    <w:tbl>
      <w:tblPr>
        <w:tblStyle w:val="8"/>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01"/>
        <w:gridCol w:w="2647"/>
        <w:gridCol w:w="2782"/>
        <w:gridCol w:w="2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tblHeader/>
          <w:jc w:val="center"/>
        </w:trPr>
        <w:tc>
          <w:tcPr>
            <w:tcW w:w="444" w:type="pct"/>
            <w:noWrap w:val="0"/>
            <w:vAlign w:val="center"/>
          </w:tcPr>
          <w:p>
            <w:pPr>
              <w:pStyle w:val="4"/>
              <w:adjustRightInd w:val="0"/>
              <w:snapToGrid w:val="0"/>
              <w:spacing w:before="12" w:beforeLines="4" w:after="12" w:afterLines="4"/>
              <w:jc w:val="center"/>
              <w:rPr>
                <w:rFonts w:ascii="Times New Roman" w:hAnsi="Times New Roman"/>
                <w:color w:val="0D0D0D"/>
                <w:kern w:val="2"/>
                <w:sz w:val="21"/>
                <w:szCs w:val="21"/>
              </w:rPr>
            </w:pPr>
            <w:r>
              <w:rPr>
                <w:rFonts w:ascii="Times New Roman" w:hAnsi="Times New Roman"/>
                <w:color w:val="0D0D0D"/>
                <w:kern w:val="2"/>
                <w:sz w:val="21"/>
                <w:szCs w:val="21"/>
              </w:rPr>
              <w:t>序号</w:t>
            </w:r>
          </w:p>
        </w:tc>
        <w:tc>
          <w:tcPr>
            <w:tcW w:w="1468" w:type="pct"/>
            <w:noWrap w:val="0"/>
            <w:vAlign w:val="center"/>
          </w:tcPr>
          <w:p>
            <w:pPr>
              <w:pStyle w:val="4"/>
              <w:adjustRightInd w:val="0"/>
              <w:snapToGrid w:val="0"/>
              <w:spacing w:before="12" w:beforeLines="4" w:after="12" w:afterLines="4"/>
              <w:jc w:val="center"/>
              <w:rPr>
                <w:rFonts w:ascii="Times New Roman" w:hAnsi="Times New Roman"/>
                <w:color w:val="0D0D0D"/>
                <w:kern w:val="2"/>
                <w:sz w:val="21"/>
                <w:szCs w:val="21"/>
              </w:rPr>
            </w:pPr>
            <w:r>
              <w:rPr>
                <w:rFonts w:ascii="Times New Roman" w:hAnsi="Times New Roman"/>
                <w:color w:val="0D0D0D"/>
                <w:kern w:val="2"/>
                <w:sz w:val="21"/>
                <w:szCs w:val="21"/>
              </w:rPr>
              <w:t>检验项目</w:t>
            </w:r>
          </w:p>
        </w:tc>
        <w:tc>
          <w:tcPr>
            <w:tcW w:w="1543" w:type="pct"/>
            <w:noWrap w:val="0"/>
            <w:vAlign w:val="center"/>
          </w:tcPr>
          <w:p>
            <w:pPr>
              <w:adjustRightInd w:val="0"/>
              <w:snapToGrid w:val="0"/>
              <w:jc w:val="center"/>
              <w:rPr>
                <w:rFonts w:ascii="Times New Roman" w:hAnsi="Times New Roman"/>
                <w:color w:val="0D0D0D"/>
                <w:szCs w:val="21"/>
              </w:rPr>
            </w:pPr>
            <w:r>
              <w:rPr>
                <w:rFonts w:hint="eastAsia"/>
                <w:color w:val="auto"/>
                <w:szCs w:val="21"/>
                <w:highlight w:val="none"/>
                <w:lang w:eastAsia="zh-CN"/>
              </w:rPr>
              <w:t>检验依据</w:t>
            </w:r>
          </w:p>
        </w:tc>
        <w:tc>
          <w:tcPr>
            <w:tcW w:w="1543" w:type="pct"/>
            <w:noWrap w:val="0"/>
            <w:vAlign w:val="center"/>
          </w:tcPr>
          <w:p>
            <w:pPr>
              <w:adjustRightInd w:val="0"/>
              <w:snapToGrid w:val="0"/>
              <w:jc w:val="center"/>
              <w:rPr>
                <w:rFonts w:ascii="Times New Roman" w:hAnsi="Times New Roman"/>
                <w:color w:val="0D0D0D"/>
                <w:szCs w:val="21"/>
              </w:rPr>
            </w:pPr>
            <w:r>
              <w:rPr>
                <w:rFonts w:ascii="Times New Roman" w:hAnsi="Times New Roman"/>
                <w:color w:val="0D0D0D"/>
                <w:szCs w:val="21"/>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w:t>
            </w:r>
          </w:p>
        </w:tc>
        <w:tc>
          <w:tcPr>
            <w:tcW w:w="1468" w:type="pct"/>
            <w:noWrap w:val="0"/>
            <w:vAlign w:val="center"/>
          </w:tcPr>
          <w:p>
            <w:pPr>
              <w:pStyle w:val="20"/>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材料质量</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w:t>
            </w:r>
          </w:p>
        </w:tc>
        <w:tc>
          <w:tcPr>
            <w:tcW w:w="1468" w:type="pct"/>
            <w:noWrap w:val="0"/>
            <w:vAlign w:val="center"/>
          </w:tcPr>
          <w:p>
            <w:pPr>
              <w:pStyle w:val="21"/>
              <w:widowControl w:val="0"/>
              <w:adjustRightInd w:val="0"/>
              <w:snapToGrid w:val="0"/>
              <w:spacing w:before="12" w:beforeLines="4" w:after="12" w:afterLines="4"/>
              <w:ind w:firstLine="0"/>
              <w:jc w:val="center"/>
              <w:rPr>
                <w:rFonts w:ascii="Times New Roman" w:hAnsi="Times New Roman"/>
                <w:color w:val="0D0D0D"/>
                <w:kern w:val="2"/>
                <w:sz w:val="21"/>
                <w:szCs w:val="21"/>
              </w:rPr>
            </w:pPr>
            <w:r>
              <w:rPr>
                <w:rFonts w:ascii="Times New Roman" w:hAnsi="Times New Roman"/>
                <w:color w:val="0D0D0D"/>
                <w:kern w:val="2"/>
                <w:sz w:val="21"/>
                <w:szCs w:val="21"/>
              </w:rPr>
              <w:t>特定可迁移元素最大限量</w:t>
            </w:r>
          </w:p>
        </w:tc>
        <w:tc>
          <w:tcPr>
            <w:tcW w:w="1543" w:type="pct"/>
            <w:noWrap w:val="0"/>
            <w:vAlign w:val="center"/>
          </w:tcPr>
          <w:p>
            <w:pPr>
              <w:adjustRightInd w:val="0"/>
              <w:snapToGrid w:val="0"/>
              <w:jc w:val="center"/>
              <w:rPr>
                <w:rFonts w:ascii="Times New Roman" w:hAnsi="Times New Roman"/>
                <w:bCs/>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6675</w:t>
            </w:r>
            <w:r>
              <w:rPr>
                <w:rFonts w:hint="eastAsia"/>
                <w:color w:val="0D0D0D"/>
                <w:lang w:eastAsia="zh-CN"/>
              </w:rPr>
              <w:t>—</w:t>
            </w:r>
            <w:r>
              <w:rPr>
                <w:rFonts w:ascii="Times New Roman" w:hAnsi="Times New Roman"/>
                <w:color w:val="0D0D0D"/>
              </w:rPr>
              <w:t xml:space="preserve">2003 </w:t>
            </w:r>
          </w:p>
          <w:p>
            <w:pPr>
              <w:pStyle w:val="20"/>
              <w:adjustRightInd w:val="0"/>
              <w:snapToGrid w:val="0"/>
              <w:jc w:val="center"/>
              <w:rPr>
                <w:rFonts w:ascii="Times New Roman" w:hAnsi="Times New Roman"/>
                <w:color w:val="0D0D0D"/>
              </w:rPr>
            </w:pPr>
            <w:r>
              <w:rPr>
                <w:rFonts w:ascii="Times New Roman" w:hAnsi="Times New Roman"/>
                <w:bCs/>
              </w:rPr>
              <w:t>GB/T 26193</w:t>
            </w:r>
            <w:r>
              <w:rPr>
                <w:rFonts w:hint="eastAsia"/>
                <w:bCs/>
                <w:lang w:eastAsia="zh-CN"/>
              </w:rPr>
              <w:t>—</w:t>
            </w:r>
            <w:r>
              <w:rPr>
                <w:rFonts w:ascii="Times New Roman" w:hAnsi="Times New Roman"/>
                <w:bCs/>
              </w:rPr>
              <w:t>2010</w:t>
            </w:r>
            <w:r>
              <w:rPr>
                <w:rFonts w:hint="eastAsia" w:ascii="Times New Roman" w:hAnsi="Times New Roman"/>
                <w:bCs/>
              </w:rPr>
              <w:t>或</w:t>
            </w:r>
            <w:r>
              <w:rPr>
                <w:rFonts w:ascii="Times New Roman" w:hAnsi="Times New Roman"/>
                <w:bCs/>
              </w:rPr>
              <w:t>GB/T 30419</w:t>
            </w:r>
            <w:r>
              <w:rPr>
                <w:rFonts w:hint="eastAsia"/>
                <w:bCs/>
                <w:lang w:eastAsia="zh-CN"/>
              </w:rPr>
              <w:t>—</w:t>
            </w:r>
            <w:r>
              <w:rPr>
                <w:rFonts w:ascii="Times New Roman" w:hAnsi="Times New Roman"/>
                <w:bCs/>
              </w:rPr>
              <w:t>2013</w:t>
            </w:r>
            <w:r>
              <w:rPr>
                <w:rFonts w:hint="eastAsia" w:ascii="Times New Roman" w:hAnsi="Times New Roman"/>
                <w:bCs/>
              </w:rPr>
              <w:t>或“</w:t>
            </w:r>
            <w:r>
              <w:rPr>
                <w:rFonts w:ascii="Times New Roman" w:hAnsi="Times New Roman"/>
                <w:bCs/>
              </w:rPr>
              <w:t>GB/T 32602</w:t>
            </w:r>
            <w:r>
              <w:rPr>
                <w:rFonts w:hint="eastAsia"/>
                <w:bCs/>
                <w:lang w:eastAsia="zh-CN"/>
              </w:rPr>
              <w:t>—</w:t>
            </w:r>
            <w:r>
              <w:rPr>
                <w:rFonts w:ascii="Times New Roman" w:hAnsi="Times New Roman"/>
                <w:bCs/>
              </w:rPr>
              <w:t>2016</w:t>
            </w:r>
            <w:r>
              <w:rPr>
                <w:rFonts w:hint="eastAsia" w:ascii="Times New Roman" w:hAnsi="Times New Roman"/>
                <w:bCs/>
              </w:rPr>
              <w:t>和</w:t>
            </w:r>
            <w:r>
              <w:rPr>
                <w:rFonts w:ascii="Times New Roman" w:hAnsi="Times New Roman"/>
                <w:bCs/>
              </w:rPr>
              <w:t>GB/T 32603</w:t>
            </w:r>
            <w:r>
              <w:rPr>
                <w:rFonts w:hint="eastAsia"/>
                <w:bCs/>
                <w:lang w:eastAsia="zh-CN"/>
              </w:rPr>
              <w:t>—</w:t>
            </w:r>
            <w:r>
              <w:rPr>
                <w:rFonts w:ascii="Times New Roman" w:hAnsi="Times New Roman"/>
                <w:bCs/>
              </w:rPr>
              <w:t>2016</w:t>
            </w:r>
            <w:r>
              <w:rPr>
                <w:rFonts w:hint="eastAsia" w:ascii="Times New Roman" w:hAnsi="Times New Roman"/>
                <w:bC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3</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金属表面</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4</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燃烧性能</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5</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外露的开口管子</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6</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危险夹缝</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7</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剪切和挤夹点</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8</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锐利边缘和尖端</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6675</w:t>
            </w:r>
            <w:r>
              <w:rPr>
                <w:rFonts w:hint="eastAsia"/>
                <w:color w:val="0D0D0D"/>
                <w:lang w:eastAsia="zh-CN"/>
              </w:rPr>
              <w:t>—</w:t>
            </w:r>
            <w:r>
              <w:rPr>
                <w:rFonts w:ascii="Times New Roman" w:hAnsi="Times New Roman"/>
                <w:color w:val="0D0D0D"/>
              </w:rPr>
              <w:t>2003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9</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小零件</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10</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外露突出物</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11</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机械部件的连接</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12</w:t>
            </w:r>
          </w:p>
        </w:tc>
        <w:tc>
          <w:tcPr>
            <w:tcW w:w="1468" w:type="pct"/>
            <w:noWrap w:val="0"/>
            <w:vAlign w:val="center"/>
          </w:tcPr>
          <w:p>
            <w:pPr>
              <w:pStyle w:val="22"/>
              <w:widowControl w:val="0"/>
              <w:tabs>
                <w:tab w:val="clear" w:pos="1680"/>
              </w:tabs>
              <w:adjustRightInd w:val="0"/>
              <w:snapToGrid w:val="0"/>
              <w:spacing w:before="12" w:beforeLines="4" w:after="12" w:afterLines="4"/>
              <w:ind w:left="0" w:firstLine="0"/>
              <w:jc w:val="center"/>
              <w:outlineLvl w:val="9"/>
              <w:rPr>
                <w:rFonts w:ascii="Times New Roman" w:hAnsi="Times New Roman" w:eastAsia="宋体"/>
                <w:color w:val="0D0D0D"/>
                <w:kern w:val="2"/>
                <w:szCs w:val="21"/>
              </w:rPr>
            </w:pPr>
            <w:r>
              <w:rPr>
                <w:rFonts w:ascii="Times New Roman" w:hAnsi="Times New Roman" w:eastAsia="宋体"/>
                <w:color w:val="0D0D0D"/>
                <w:kern w:val="2"/>
                <w:szCs w:val="21"/>
              </w:rPr>
              <w:t>卧兜的最小内部高度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13</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座兜的座垫与靠背的角度和靠背的高度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14</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推车的适用年龄</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15</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卧兜和座兜连接在车架上的装置</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16</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稳定性</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17</w:t>
            </w:r>
          </w:p>
        </w:tc>
        <w:tc>
          <w:tcPr>
            <w:tcW w:w="1468" w:type="pct"/>
            <w:noWrap w:val="0"/>
            <w:vAlign w:val="center"/>
          </w:tcPr>
          <w:p>
            <w:pPr>
              <w:adjustRightInd w:val="0"/>
              <w:snapToGrid w:val="0"/>
              <w:spacing w:before="12" w:beforeLines="4" w:after="12" w:afterLines="4"/>
              <w:jc w:val="center"/>
              <w:rPr>
                <w:rFonts w:ascii="Times New Roman" w:hAnsi="Times New Roman"/>
                <w:color w:val="0D0D0D"/>
                <w:vertAlign w:val="superscript"/>
              </w:rPr>
            </w:pPr>
            <w:r>
              <w:rPr>
                <w:rFonts w:ascii="Times New Roman" w:hAnsi="Times New Roman"/>
                <w:color w:val="0D0D0D"/>
              </w:rPr>
              <w:t>手把强度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18</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制动装置</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19</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折叠锁定装置</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20</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可拆卸卧兜或座兜的连接装置的强度和耐用性</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21</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束缚系统的强度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22</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安全带扣的强度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23</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车轮的强度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24</w:t>
            </w:r>
          </w:p>
        </w:tc>
        <w:tc>
          <w:tcPr>
            <w:tcW w:w="1468" w:type="pct"/>
            <w:noWrap w:val="0"/>
            <w:vAlign w:val="center"/>
          </w:tcPr>
          <w:p>
            <w:pPr>
              <w:adjustRightInd w:val="0"/>
              <w:snapToGrid w:val="0"/>
              <w:spacing w:before="12" w:beforeLines="4" w:after="12" w:afterLines="4"/>
              <w:jc w:val="center"/>
              <w:rPr>
                <w:rFonts w:ascii="Times New Roman" w:hAnsi="Times New Roman"/>
                <w:color w:val="0D0D0D"/>
                <w:vertAlign w:val="superscript"/>
              </w:rPr>
            </w:pPr>
            <w:r>
              <w:rPr>
                <w:rFonts w:ascii="Times New Roman" w:hAnsi="Times New Roman"/>
                <w:color w:val="0D0D0D"/>
              </w:rPr>
              <w:t>动态耐久性测试</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25</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撞击强度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40" w:hRule="atLeast"/>
          <w:jc w:val="center"/>
        </w:trPr>
        <w:tc>
          <w:tcPr>
            <w:tcW w:w="444"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26</w:t>
            </w:r>
          </w:p>
        </w:tc>
        <w:tc>
          <w:tcPr>
            <w:tcW w:w="1468" w:type="pct"/>
            <w:noWrap w:val="0"/>
            <w:vAlign w:val="center"/>
          </w:tcPr>
          <w:p>
            <w:pPr>
              <w:adjustRightInd w:val="0"/>
              <w:snapToGrid w:val="0"/>
              <w:spacing w:before="12" w:beforeLines="4" w:after="12" w:afterLines="4"/>
              <w:jc w:val="center"/>
              <w:rPr>
                <w:rFonts w:ascii="Times New Roman" w:hAnsi="Times New Roman"/>
                <w:color w:val="0D0D0D"/>
              </w:rPr>
            </w:pPr>
            <w:r>
              <w:rPr>
                <w:rFonts w:ascii="Times New Roman" w:hAnsi="Times New Roman"/>
                <w:color w:val="0D0D0D"/>
              </w:rPr>
              <w:t>静态强度</w:t>
            </w:r>
          </w:p>
        </w:tc>
        <w:tc>
          <w:tcPr>
            <w:tcW w:w="1543" w:type="pct"/>
            <w:noWrap w:val="0"/>
            <w:vAlign w:val="center"/>
          </w:tcPr>
          <w:p>
            <w:pPr>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c>
          <w:tcPr>
            <w:tcW w:w="1543" w:type="pct"/>
            <w:noWrap w:val="0"/>
            <w:vAlign w:val="center"/>
          </w:tcPr>
          <w:p>
            <w:pPr>
              <w:pStyle w:val="20"/>
              <w:adjustRightInd w:val="0"/>
              <w:snapToGrid w:val="0"/>
              <w:jc w:val="center"/>
              <w:rPr>
                <w:rFonts w:ascii="Times New Roman" w:hAnsi="Times New Roman"/>
                <w:color w:val="0D0D0D"/>
              </w:rPr>
            </w:pPr>
            <w:r>
              <w:rPr>
                <w:rFonts w:ascii="Times New Roman" w:hAnsi="Times New Roman"/>
                <w:color w:val="0D0D0D"/>
              </w:rPr>
              <w:t>GB 14748</w:t>
            </w:r>
            <w:r>
              <w:rPr>
                <w:rFonts w:hint="eastAsia"/>
                <w:color w:val="0D0D0D"/>
                <w:lang w:eastAsia="zh-CN"/>
              </w:rPr>
              <w:t>—</w:t>
            </w:r>
            <w:r>
              <w:rPr>
                <w:rFonts w:ascii="Times New Roman" w:hAnsi="Times New Roman"/>
                <w:color w:val="0D0D0D"/>
              </w:rPr>
              <w:t>2006</w:t>
            </w:r>
          </w:p>
        </w:tc>
      </w:tr>
    </w:tbl>
    <w:p>
      <w:pPr>
        <w:adjustRightInd w:val="0"/>
        <w:snapToGrid w:val="0"/>
        <w:spacing w:line="440" w:lineRule="exact"/>
        <w:ind w:firstLine="420" w:firstLineChars="200"/>
        <w:rPr>
          <w:color w:val="auto"/>
          <w:szCs w:val="21"/>
          <w:highlight w:val="none"/>
        </w:rPr>
      </w:pPr>
      <w:r>
        <w:rPr>
          <w:rFonts w:hint="eastAsia"/>
          <w:color w:val="auto"/>
          <w:szCs w:val="21"/>
          <w:highlight w:val="none"/>
        </w:rPr>
        <w:t>执行企业标准、团体标准、地方标准的产品，检验项目参照上述内容执行。</w:t>
      </w:r>
    </w:p>
    <w:p>
      <w:pPr>
        <w:snapToGrid w:val="0"/>
        <w:spacing w:line="440" w:lineRule="exact"/>
        <w:ind w:firstLine="420" w:firstLineChars="200"/>
        <w:rPr>
          <w:color w:val="auto"/>
          <w:szCs w:val="21"/>
          <w:highlight w:val="none"/>
        </w:rPr>
      </w:pPr>
      <w:r>
        <w:rPr>
          <w:color w:val="auto"/>
          <w:szCs w:val="21"/>
          <w:highlight w:val="none"/>
        </w:rPr>
        <w:t>凡是注日期的文件，其随后所有的修改单（不包括勘误的内容）或修订版不适用于本细则。凡是不注日期的文件，其最新版本适用于本细则。</w:t>
      </w:r>
    </w:p>
    <w:p>
      <w:pPr>
        <w:spacing w:line="360" w:lineRule="auto"/>
        <w:rPr>
          <w:rFonts w:eastAsia="黑体"/>
          <w:color w:val="auto"/>
          <w:szCs w:val="21"/>
          <w:highlight w:val="none"/>
        </w:rPr>
      </w:pPr>
    </w:p>
    <w:p>
      <w:pPr>
        <w:spacing w:line="360" w:lineRule="auto"/>
        <w:rPr>
          <w:rFonts w:eastAsia="黑体"/>
          <w:color w:val="auto"/>
          <w:szCs w:val="21"/>
          <w:highlight w:val="none"/>
        </w:rPr>
      </w:pPr>
      <w:r>
        <w:rPr>
          <w:rFonts w:eastAsia="黑体"/>
          <w:color w:val="auto"/>
          <w:szCs w:val="21"/>
          <w:highlight w:val="none"/>
        </w:rPr>
        <w:t>3 判定规则</w:t>
      </w:r>
    </w:p>
    <w:p>
      <w:pPr>
        <w:snapToGrid w:val="0"/>
        <w:spacing w:line="440" w:lineRule="exact"/>
        <w:rPr>
          <w:color w:val="auto"/>
          <w:szCs w:val="21"/>
          <w:highlight w:val="none"/>
        </w:rPr>
      </w:pPr>
      <w:r>
        <w:rPr>
          <w:color w:val="auto"/>
          <w:szCs w:val="21"/>
          <w:highlight w:val="none"/>
        </w:rPr>
        <w:t>3.1依据标准</w:t>
      </w:r>
    </w:p>
    <w:p>
      <w:pPr>
        <w:snapToGrid w:val="0"/>
        <w:spacing w:line="440" w:lineRule="exact"/>
        <w:ind w:firstLine="420" w:firstLineChars="200"/>
        <w:rPr>
          <w:rFonts w:hint="eastAsia"/>
          <w:color w:val="auto"/>
          <w:szCs w:val="21"/>
          <w:highlight w:val="none"/>
        </w:rPr>
      </w:pPr>
      <w:r>
        <w:rPr>
          <w:rFonts w:hint="eastAsia"/>
          <w:color w:val="auto"/>
          <w:szCs w:val="21"/>
          <w:highlight w:val="none"/>
        </w:rPr>
        <w:t>GB 14748</w:t>
      </w:r>
      <w:r>
        <w:rPr>
          <w:rFonts w:hint="eastAsia"/>
          <w:color w:val="auto"/>
          <w:szCs w:val="21"/>
          <w:highlight w:val="none"/>
          <w:lang w:eastAsia="zh-CN"/>
        </w:rPr>
        <w:t>—</w:t>
      </w:r>
      <w:r>
        <w:rPr>
          <w:rFonts w:hint="eastAsia"/>
          <w:color w:val="auto"/>
          <w:szCs w:val="21"/>
          <w:highlight w:val="none"/>
        </w:rPr>
        <w:t>2006</w:t>
      </w:r>
      <w:r>
        <w:rPr>
          <w:rFonts w:hint="eastAsia"/>
          <w:color w:val="auto"/>
          <w:szCs w:val="21"/>
          <w:highlight w:val="none"/>
          <w:lang w:eastAsia="zh-CN"/>
        </w:rPr>
        <w:t>《</w:t>
      </w:r>
      <w:r>
        <w:rPr>
          <w:rFonts w:hint="eastAsia"/>
          <w:color w:val="auto"/>
          <w:szCs w:val="21"/>
          <w:highlight w:val="none"/>
        </w:rPr>
        <w:t>儿童推车安全要求》</w:t>
      </w:r>
    </w:p>
    <w:p>
      <w:pPr>
        <w:snapToGrid w:val="0"/>
        <w:spacing w:line="440" w:lineRule="exact"/>
        <w:ind w:firstLine="420" w:firstLineChars="200"/>
        <w:rPr>
          <w:color w:val="auto"/>
          <w:szCs w:val="21"/>
          <w:highlight w:val="none"/>
        </w:rPr>
      </w:pPr>
      <w:r>
        <w:rPr>
          <w:color w:val="auto"/>
          <w:szCs w:val="21"/>
          <w:highlight w:val="none"/>
        </w:rPr>
        <w:t>现行有效的企业标准、团体标准、地方标准及产品明示质量要求</w:t>
      </w:r>
    </w:p>
    <w:p>
      <w:pPr>
        <w:snapToGrid w:val="0"/>
        <w:spacing w:line="440" w:lineRule="exact"/>
        <w:rPr>
          <w:color w:val="auto"/>
          <w:szCs w:val="21"/>
          <w:highlight w:val="none"/>
        </w:rPr>
      </w:pPr>
      <w:r>
        <w:rPr>
          <w:color w:val="auto"/>
          <w:szCs w:val="21"/>
          <w:highlight w:val="none"/>
        </w:rPr>
        <w:t>3.2判定原则</w:t>
      </w:r>
    </w:p>
    <w:p>
      <w:pPr>
        <w:snapToGrid w:val="0"/>
        <w:spacing w:line="440" w:lineRule="exact"/>
        <w:ind w:firstLine="420" w:firstLineChars="200"/>
        <w:rPr>
          <w:color w:val="auto"/>
          <w:szCs w:val="21"/>
          <w:highlight w:val="none"/>
        </w:rPr>
      </w:pPr>
      <w:r>
        <w:rPr>
          <w:color w:val="auto"/>
          <w:szCs w:val="21"/>
          <w:highlight w:val="none"/>
        </w:rPr>
        <w:t>经检验，检验项目全部合格，判定为被抽查产品</w:t>
      </w:r>
      <w:r>
        <w:rPr>
          <w:rFonts w:hint="eastAsia"/>
          <w:color w:val="auto"/>
          <w:szCs w:val="21"/>
          <w:highlight w:val="none"/>
        </w:rPr>
        <w:t>所检项目未发现不</w:t>
      </w:r>
      <w:r>
        <w:rPr>
          <w:color w:val="auto"/>
          <w:szCs w:val="21"/>
          <w:highlight w:val="none"/>
        </w:rPr>
        <w:t>合格；检验项目中任一项或一项以上不合格，判定为被抽查产品不合格。</w:t>
      </w:r>
    </w:p>
    <w:p>
      <w:pPr>
        <w:snapToGrid w:val="0"/>
        <w:spacing w:line="440" w:lineRule="exact"/>
        <w:ind w:firstLine="417" w:firstLineChars="199"/>
        <w:rPr>
          <w:color w:val="auto"/>
          <w:szCs w:val="21"/>
          <w:highlight w:val="none"/>
        </w:rPr>
      </w:pPr>
      <w:r>
        <w:rPr>
          <w:color w:val="auto"/>
          <w:szCs w:val="21"/>
          <w:highlight w:val="none"/>
        </w:rPr>
        <w:t>若被检产品明示的质量要求高于本细则中检验项目依据的标准要求时，应按被检产品明示的质量要求判定。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若被检产品明示的质量要求低于本细则中检验项目依据的强制性标准要求时，应按照强制性标准要求判定。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若被检产品明示的质量要求低于或包含本细则中检验项目依据的推荐性标准要求时，应以被检产品明示的质量要求判定。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若被检产品明示的质量要求缺少本细则中检验项目依据的强制性标准要求时，应按照强制性标准要求判定。</w:t>
      </w:r>
    </w:p>
    <w:p>
      <w:pPr>
        <w:snapToGrid w:val="0"/>
        <w:spacing w:line="440" w:lineRule="exact"/>
        <w:ind w:firstLine="417" w:firstLineChars="199"/>
        <w:rPr>
          <w:color w:val="auto"/>
          <w:szCs w:val="21"/>
          <w:highlight w:val="none"/>
        </w:rPr>
      </w:pPr>
      <w:r>
        <w:rPr>
          <w:color w:val="auto"/>
          <w:szCs w:val="21"/>
          <w:highlight w:val="none"/>
        </w:rPr>
        <w:t>若被检产品明示的质量要求缺少本细则中检验项目依据的推荐性标准要求时，该项目不参与判定。</w:t>
      </w:r>
    </w:p>
    <w:sectPr>
      <w:headerReference r:id="rId3" w:type="default"/>
      <w:footerReference r:id="rId4" w:type="default"/>
      <w:footerReference r:id="rId5" w:type="even"/>
      <w:pgSz w:w="11906" w:h="16838"/>
      <w:pgMar w:top="1985" w:right="1474" w:bottom="1644" w:left="1474" w:header="851" w:footer="119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gency FB"/>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Microsoft YaHei">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r>
      <w:rPr>
        <w:lang w:val="zh-CN"/>
      </w:rPr>
      <w:fldChar w:fldCharType="begin"/>
    </w:r>
    <w:r>
      <w:rPr>
        <w:lang w:val="zh-CN"/>
      </w:rPr>
      <w:instrText xml:space="preserve"> PAGE   \* MERGEFORMAT </w:instrText>
    </w:r>
    <w:r>
      <w:rPr>
        <w:lang w:val="zh-CN"/>
      </w:rPr>
      <w:fldChar w:fldCharType="separate"/>
    </w:r>
    <w:r>
      <w:t>3</w:t>
    </w:r>
    <w:r>
      <w:rPr>
        <w:lang w:val="zh-CN"/>
      </w:rPr>
      <w:fldChar w:fldCharType="end"/>
    </w:r>
  </w:p>
  <w:p>
    <w:pPr>
      <w:pStyle w:val="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2</w:t>
    </w:r>
    <w:r>
      <w:fldChar w:fldCharType="end"/>
    </w:r>
  </w:p>
  <w:p>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fa65871d-bb24-4261-bf54-c1e60b449f9a"/>
  </w:docVars>
  <w:rsids>
    <w:rsidRoot w:val="00172A27"/>
    <w:rsid w:val="00051A44"/>
    <w:rsid w:val="00070F23"/>
    <w:rsid w:val="00072772"/>
    <w:rsid w:val="00081CBD"/>
    <w:rsid w:val="000976DE"/>
    <w:rsid w:val="000A243A"/>
    <w:rsid w:val="000A7E74"/>
    <w:rsid w:val="000B6AB8"/>
    <w:rsid w:val="000E64DB"/>
    <w:rsid w:val="000F0046"/>
    <w:rsid w:val="001141F4"/>
    <w:rsid w:val="0013003A"/>
    <w:rsid w:val="00144BFC"/>
    <w:rsid w:val="00161CC9"/>
    <w:rsid w:val="001707D8"/>
    <w:rsid w:val="00172A27"/>
    <w:rsid w:val="001809DD"/>
    <w:rsid w:val="00191922"/>
    <w:rsid w:val="001924F2"/>
    <w:rsid w:val="001A150E"/>
    <w:rsid w:val="001E297A"/>
    <w:rsid w:val="001E2A06"/>
    <w:rsid w:val="00213ED0"/>
    <w:rsid w:val="00253624"/>
    <w:rsid w:val="00266A43"/>
    <w:rsid w:val="00292420"/>
    <w:rsid w:val="002B38DA"/>
    <w:rsid w:val="002D7F8A"/>
    <w:rsid w:val="002E0D1D"/>
    <w:rsid w:val="002F08D6"/>
    <w:rsid w:val="002F1052"/>
    <w:rsid w:val="003102FB"/>
    <w:rsid w:val="003203A3"/>
    <w:rsid w:val="00340503"/>
    <w:rsid w:val="00384DC2"/>
    <w:rsid w:val="003A089D"/>
    <w:rsid w:val="003A667F"/>
    <w:rsid w:val="003C388C"/>
    <w:rsid w:val="003E4B35"/>
    <w:rsid w:val="003E5EF2"/>
    <w:rsid w:val="003E61BF"/>
    <w:rsid w:val="00406CE0"/>
    <w:rsid w:val="00417405"/>
    <w:rsid w:val="0042066B"/>
    <w:rsid w:val="00422D1E"/>
    <w:rsid w:val="00445E86"/>
    <w:rsid w:val="00470539"/>
    <w:rsid w:val="00474E04"/>
    <w:rsid w:val="00487384"/>
    <w:rsid w:val="004A2365"/>
    <w:rsid w:val="004B7A3F"/>
    <w:rsid w:val="004C0D07"/>
    <w:rsid w:val="004D0C5A"/>
    <w:rsid w:val="004D370C"/>
    <w:rsid w:val="004E1396"/>
    <w:rsid w:val="00521903"/>
    <w:rsid w:val="005255D7"/>
    <w:rsid w:val="0055220B"/>
    <w:rsid w:val="00563EBC"/>
    <w:rsid w:val="00564F4C"/>
    <w:rsid w:val="0058351D"/>
    <w:rsid w:val="00583F6C"/>
    <w:rsid w:val="00597FF6"/>
    <w:rsid w:val="005B12AD"/>
    <w:rsid w:val="005B7ED8"/>
    <w:rsid w:val="005D160F"/>
    <w:rsid w:val="00610555"/>
    <w:rsid w:val="006369D6"/>
    <w:rsid w:val="00650A05"/>
    <w:rsid w:val="006C54F6"/>
    <w:rsid w:val="006E0056"/>
    <w:rsid w:val="006F0971"/>
    <w:rsid w:val="0072334C"/>
    <w:rsid w:val="00726111"/>
    <w:rsid w:val="0075488B"/>
    <w:rsid w:val="00754B02"/>
    <w:rsid w:val="0078412F"/>
    <w:rsid w:val="007863DC"/>
    <w:rsid w:val="007C51AC"/>
    <w:rsid w:val="007C599F"/>
    <w:rsid w:val="008141C1"/>
    <w:rsid w:val="00826E57"/>
    <w:rsid w:val="00845A82"/>
    <w:rsid w:val="00895BEA"/>
    <w:rsid w:val="008A3497"/>
    <w:rsid w:val="008B172A"/>
    <w:rsid w:val="008E06BE"/>
    <w:rsid w:val="008E7DAB"/>
    <w:rsid w:val="008F789C"/>
    <w:rsid w:val="009157F8"/>
    <w:rsid w:val="00917A54"/>
    <w:rsid w:val="009251B7"/>
    <w:rsid w:val="00930B55"/>
    <w:rsid w:val="00950510"/>
    <w:rsid w:val="009830E2"/>
    <w:rsid w:val="0099448E"/>
    <w:rsid w:val="009A0C29"/>
    <w:rsid w:val="009A18FF"/>
    <w:rsid w:val="009A377D"/>
    <w:rsid w:val="009A44A6"/>
    <w:rsid w:val="009B098B"/>
    <w:rsid w:val="009C5BE7"/>
    <w:rsid w:val="009F06B0"/>
    <w:rsid w:val="00A00931"/>
    <w:rsid w:val="00A05D9C"/>
    <w:rsid w:val="00A11F30"/>
    <w:rsid w:val="00A12D5C"/>
    <w:rsid w:val="00A21847"/>
    <w:rsid w:val="00A43553"/>
    <w:rsid w:val="00A609A0"/>
    <w:rsid w:val="00A77F31"/>
    <w:rsid w:val="00AE3223"/>
    <w:rsid w:val="00B0538A"/>
    <w:rsid w:val="00BC1DC4"/>
    <w:rsid w:val="00BC28FE"/>
    <w:rsid w:val="00BC413D"/>
    <w:rsid w:val="00BF7250"/>
    <w:rsid w:val="00C1602F"/>
    <w:rsid w:val="00C26074"/>
    <w:rsid w:val="00C62A44"/>
    <w:rsid w:val="00C63DD3"/>
    <w:rsid w:val="00C64CFE"/>
    <w:rsid w:val="00C6528A"/>
    <w:rsid w:val="00C83B0A"/>
    <w:rsid w:val="00C9324C"/>
    <w:rsid w:val="00C9521C"/>
    <w:rsid w:val="00CA7DB8"/>
    <w:rsid w:val="00CB445A"/>
    <w:rsid w:val="00CC33F8"/>
    <w:rsid w:val="00CC7D0D"/>
    <w:rsid w:val="00CD1580"/>
    <w:rsid w:val="00CE1873"/>
    <w:rsid w:val="00CE1E0C"/>
    <w:rsid w:val="00CE277E"/>
    <w:rsid w:val="00CE2BB2"/>
    <w:rsid w:val="00CE6143"/>
    <w:rsid w:val="00CE7FE1"/>
    <w:rsid w:val="00D000E0"/>
    <w:rsid w:val="00D35B38"/>
    <w:rsid w:val="00D56867"/>
    <w:rsid w:val="00D64EE6"/>
    <w:rsid w:val="00D64F0B"/>
    <w:rsid w:val="00D71EAE"/>
    <w:rsid w:val="00D82D31"/>
    <w:rsid w:val="00D830E9"/>
    <w:rsid w:val="00DC37F5"/>
    <w:rsid w:val="00E01C49"/>
    <w:rsid w:val="00E02A7F"/>
    <w:rsid w:val="00E07880"/>
    <w:rsid w:val="00E12124"/>
    <w:rsid w:val="00E1707D"/>
    <w:rsid w:val="00E275C8"/>
    <w:rsid w:val="00E35E78"/>
    <w:rsid w:val="00E467DF"/>
    <w:rsid w:val="00E53EF2"/>
    <w:rsid w:val="00E636A3"/>
    <w:rsid w:val="00E65B17"/>
    <w:rsid w:val="00E82621"/>
    <w:rsid w:val="00EA5ED4"/>
    <w:rsid w:val="00EB5611"/>
    <w:rsid w:val="00ED2DED"/>
    <w:rsid w:val="00EF28C3"/>
    <w:rsid w:val="00F056E2"/>
    <w:rsid w:val="00F06BED"/>
    <w:rsid w:val="00F21CF4"/>
    <w:rsid w:val="00F25BB4"/>
    <w:rsid w:val="00F465A4"/>
    <w:rsid w:val="00F77C9A"/>
    <w:rsid w:val="00F97B9D"/>
    <w:rsid w:val="00FB0FE1"/>
    <w:rsid w:val="00FB576C"/>
    <w:rsid w:val="00FC2905"/>
    <w:rsid w:val="00FC5382"/>
    <w:rsid w:val="00FD2AA6"/>
    <w:rsid w:val="00FE39D9"/>
    <w:rsid w:val="00FE7E8A"/>
    <w:rsid w:val="00FF0D73"/>
    <w:rsid w:val="02AE01CC"/>
    <w:rsid w:val="04166388"/>
    <w:rsid w:val="04DB4CDB"/>
    <w:rsid w:val="07293DBC"/>
    <w:rsid w:val="07EA2C20"/>
    <w:rsid w:val="090769BB"/>
    <w:rsid w:val="09471A07"/>
    <w:rsid w:val="0A8138B8"/>
    <w:rsid w:val="0B9B19E7"/>
    <w:rsid w:val="0DAC357C"/>
    <w:rsid w:val="0E590C93"/>
    <w:rsid w:val="0FBC4BC1"/>
    <w:rsid w:val="12675F5F"/>
    <w:rsid w:val="130651C0"/>
    <w:rsid w:val="14203E74"/>
    <w:rsid w:val="14904572"/>
    <w:rsid w:val="15001D0E"/>
    <w:rsid w:val="15962F1E"/>
    <w:rsid w:val="185F17B0"/>
    <w:rsid w:val="18B4767B"/>
    <w:rsid w:val="1AE945EA"/>
    <w:rsid w:val="1B346763"/>
    <w:rsid w:val="1B3F68A5"/>
    <w:rsid w:val="1B877235"/>
    <w:rsid w:val="1DB422BC"/>
    <w:rsid w:val="1E192058"/>
    <w:rsid w:val="1ECE699F"/>
    <w:rsid w:val="1F274302"/>
    <w:rsid w:val="203C025F"/>
    <w:rsid w:val="22783080"/>
    <w:rsid w:val="229D6ED2"/>
    <w:rsid w:val="231B27BC"/>
    <w:rsid w:val="2757565F"/>
    <w:rsid w:val="278827D9"/>
    <w:rsid w:val="282272C2"/>
    <w:rsid w:val="29727E07"/>
    <w:rsid w:val="2A8F0449"/>
    <w:rsid w:val="2C0927BF"/>
    <w:rsid w:val="2C574478"/>
    <w:rsid w:val="2DE23166"/>
    <w:rsid w:val="30566131"/>
    <w:rsid w:val="30A922F7"/>
    <w:rsid w:val="31A52F0C"/>
    <w:rsid w:val="32D93FCF"/>
    <w:rsid w:val="377C7400"/>
    <w:rsid w:val="383D244F"/>
    <w:rsid w:val="3BF10904"/>
    <w:rsid w:val="3E1C2E2C"/>
    <w:rsid w:val="3EA242D1"/>
    <w:rsid w:val="41A324C3"/>
    <w:rsid w:val="41FE0330"/>
    <w:rsid w:val="42E02A08"/>
    <w:rsid w:val="43637E9A"/>
    <w:rsid w:val="43746378"/>
    <w:rsid w:val="472C4C55"/>
    <w:rsid w:val="475F6EEB"/>
    <w:rsid w:val="489E5B95"/>
    <w:rsid w:val="4A486567"/>
    <w:rsid w:val="4A761E4D"/>
    <w:rsid w:val="4BAD7834"/>
    <w:rsid w:val="4D8C2EEA"/>
    <w:rsid w:val="4F7E2BBD"/>
    <w:rsid w:val="50243DC2"/>
    <w:rsid w:val="52DB7AE0"/>
    <w:rsid w:val="52ED60A5"/>
    <w:rsid w:val="54CF254E"/>
    <w:rsid w:val="5557610E"/>
    <w:rsid w:val="557B0928"/>
    <w:rsid w:val="55CC4CE0"/>
    <w:rsid w:val="55FC102D"/>
    <w:rsid w:val="570B70C9"/>
    <w:rsid w:val="5998534B"/>
    <w:rsid w:val="5BA65FD3"/>
    <w:rsid w:val="5C431FAA"/>
    <w:rsid w:val="5F9750F4"/>
    <w:rsid w:val="6006326F"/>
    <w:rsid w:val="603161B4"/>
    <w:rsid w:val="606E0AA6"/>
    <w:rsid w:val="61E229ED"/>
    <w:rsid w:val="6312030A"/>
    <w:rsid w:val="65C251A5"/>
    <w:rsid w:val="67B30A1E"/>
    <w:rsid w:val="67C617B5"/>
    <w:rsid w:val="6AC449B9"/>
    <w:rsid w:val="6ADE12E5"/>
    <w:rsid w:val="6B0F71A5"/>
    <w:rsid w:val="6B3D5917"/>
    <w:rsid w:val="6E3C2B6A"/>
    <w:rsid w:val="6EB73D00"/>
    <w:rsid w:val="6F3A71FA"/>
    <w:rsid w:val="6F5A5D48"/>
    <w:rsid w:val="6FD9375B"/>
    <w:rsid w:val="71025CA2"/>
    <w:rsid w:val="71F9338B"/>
    <w:rsid w:val="72102637"/>
    <w:rsid w:val="72127AC6"/>
    <w:rsid w:val="727E5C2C"/>
    <w:rsid w:val="73431F82"/>
    <w:rsid w:val="74094463"/>
    <w:rsid w:val="756A219E"/>
    <w:rsid w:val="768A78C8"/>
    <w:rsid w:val="768C443B"/>
    <w:rsid w:val="76D474B3"/>
    <w:rsid w:val="77F263D0"/>
    <w:rsid w:val="79077078"/>
    <w:rsid w:val="79980404"/>
    <w:rsid w:val="79DB17DE"/>
    <w:rsid w:val="7B42766E"/>
    <w:rsid w:val="7C18217D"/>
    <w:rsid w:val="7C610620"/>
    <w:rsid w:val="7E665422"/>
    <w:rsid w:val="7F082B9D"/>
    <w:rsid w:val="7F217CAB"/>
    <w:rsid w:val="9B7E3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annotation text"/>
    <w:basedOn w:val="1"/>
    <w:unhideWhenUsed/>
    <w:qFormat/>
    <w:uiPriority w:val="99"/>
    <w:pPr>
      <w:jc w:val="left"/>
    </w:pPr>
  </w:style>
  <w:style w:type="paragraph" w:styleId="4">
    <w:name w:val="Plain Text"/>
    <w:basedOn w:val="1"/>
    <w:link w:val="12"/>
    <w:unhideWhenUsed/>
    <w:qFormat/>
    <w:uiPriority w:val="99"/>
    <w:rPr>
      <w:rFonts w:ascii="宋体" w:hAnsi="Courier New"/>
      <w:kern w:val="0"/>
      <w:sz w:val="20"/>
      <w:szCs w:val="20"/>
    </w:rPr>
  </w:style>
  <w:style w:type="paragraph" w:styleId="5">
    <w:name w:val="Balloon Text"/>
    <w:basedOn w:val="1"/>
    <w:link w:val="13"/>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character" w:customStyle="1" w:styleId="12">
    <w:name w:val="纯文本 字符"/>
    <w:link w:val="4"/>
    <w:qFormat/>
    <w:uiPriority w:val="99"/>
    <w:rPr>
      <w:rFonts w:ascii="宋体" w:hAnsi="Courier New"/>
    </w:rPr>
  </w:style>
  <w:style w:type="character" w:customStyle="1" w:styleId="13">
    <w:name w:val="批注框文本 字符"/>
    <w:link w:val="5"/>
    <w:semiHidden/>
    <w:qFormat/>
    <w:uiPriority w:val="99"/>
    <w:rPr>
      <w:kern w:val="2"/>
      <w:sz w:val="18"/>
      <w:szCs w:val="18"/>
    </w:rPr>
  </w:style>
  <w:style w:type="character" w:customStyle="1" w:styleId="14">
    <w:name w:val="页脚 字符"/>
    <w:link w:val="6"/>
    <w:qFormat/>
    <w:uiPriority w:val="99"/>
    <w:rPr>
      <w:kern w:val="2"/>
      <w:sz w:val="18"/>
      <w:szCs w:val="18"/>
    </w:rPr>
  </w:style>
  <w:style w:type="character" w:customStyle="1" w:styleId="15">
    <w:name w:val="页眉 字符"/>
    <w:link w:val="7"/>
    <w:semiHidden/>
    <w:qFormat/>
    <w:uiPriority w:val="99"/>
    <w:rPr>
      <w:kern w:val="2"/>
      <w:sz w:val="18"/>
      <w:szCs w:val="18"/>
    </w:rPr>
  </w:style>
  <w:style w:type="paragraph" w:customStyle="1" w:styleId="16">
    <w:name w:val="列出段落1"/>
    <w:basedOn w:val="1"/>
    <w:qFormat/>
    <w:uiPriority w:val="34"/>
    <w:pPr>
      <w:ind w:firstLine="420" w:firstLineChars="200"/>
    </w:pPr>
    <w:rPr>
      <w:rFonts w:ascii="Calibri" w:hAnsi="Calibri"/>
      <w:szCs w:val="22"/>
    </w:rPr>
  </w:style>
  <w:style w:type="paragraph" w:customStyle="1" w:styleId="17">
    <w:name w:val="_Style 15"/>
    <w:unhideWhenUsed/>
    <w:qFormat/>
    <w:uiPriority w:val="99"/>
    <w:rPr>
      <w:rFonts w:ascii="Times New Roman" w:hAnsi="Times New Roman" w:eastAsia="宋体" w:cs="Times New Roman"/>
      <w:kern w:val="2"/>
      <w:sz w:val="21"/>
      <w:szCs w:val="24"/>
      <w:lang w:val="en-US" w:eastAsia="zh-CN" w:bidi="ar-SA"/>
    </w:rPr>
  </w:style>
  <w:style w:type="paragraph" w:customStyle="1" w:styleId="18">
    <w:name w:val="Table Paragraph"/>
    <w:basedOn w:val="1"/>
    <w:qFormat/>
    <w:uiPriority w:val="1"/>
    <w:rPr>
      <w:rFonts w:ascii="宋体" w:hAnsi="宋体" w:cs="宋体"/>
      <w:lang w:val="zh-CN" w:bidi="zh-CN"/>
    </w:rPr>
  </w:style>
  <w:style w:type="paragraph" w:styleId="19">
    <w:name w:val="List Paragraph"/>
    <w:basedOn w:val="1"/>
    <w:qFormat/>
    <w:uiPriority w:val="99"/>
    <w:pPr>
      <w:ind w:firstLine="420" w:firstLineChars="200"/>
    </w:pPr>
    <w:rPr>
      <w:rFonts w:ascii="Calibri" w:hAnsi="Calibri"/>
      <w:szCs w:val="22"/>
    </w:rPr>
  </w:style>
  <w:style w:type="paragraph" w:customStyle="1" w:styleId="20">
    <w:name w:val="二级无标题条"/>
    <w:basedOn w:val="1"/>
    <w:qFormat/>
    <w:uiPriority w:val="0"/>
    <w:rPr>
      <w:szCs w:val="21"/>
    </w:rPr>
  </w:style>
  <w:style w:type="paragraph" w:customStyle="1" w:styleId="21">
    <w:name w:val="段"/>
    <w:qFormat/>
    <w:uiPriority w:val="0"/>
    <w:pPr>
      <w:autoSpaceDE w:val="0"/>
      <w:autoSpaceDN w:val="0"/>
      <w:ind w:firstLine="420"/>
      <w:jc w:val="both"/>
    </w:pPr>
    <w:rPr>
      <w:rFonts w:ascii="Calibri" w:hAnsi="Calibri" w:eastAsia="宋体" w:cs="Times New Roman"/>
      <w:color w:val="000000"/>
      <w:lang w:val="en-US" w:eastAsia="zh-CN" w:bidi="ar-SA"/>
    </w:rPr>
  </w:style>
  <w:style w:type="paragraph" w:customStyle="1" w:styleId="22">
    <w:name w:val="二级条标题"/>
    <w:basedOn w:val="1"/>
    <w:next w:val="21"/>
    <w:qFormat/>
    <w:uiPriority w:val="0"/>
    <w:pPr>
      <w:widowControl/>
      <w:tabs>
        <w:tab w:val="left" w:pos="1680"/>
      </w:tabs>
      <w:ind w:left="1680" w:hanging="420"/>
      <w:outlineLvl w:val="3"/>
    </w:pPr>
    <w:rPr>
      <w:rFonts w:ascii="黑体" w:eastAsia="黑体"/>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Legend (Beijing) Limited</Company>
  <Pages>2</Pages>
  <Words>907</Words>
  <Characters>1513</Characters>
  <Lines>16</Lines>
  <Paragraphs>4</Paragraphs>
  <TotalTime>0</TotalTime>
  <ScaleCrop>false</ScaleCrop>
  <LinksUpToDate>false</LinksUpToDate>
  <CharactersWithSpaces>1577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2024-04-25T08:42:00Z</dcterms:created>
  <dc:creator>Legend User</dc:creator>
  <cp:lastModifiedBy>lisl</cp:lastModifiedBy>
  <cp:lastPrinted>2026-04-15T14:33:00Z</cp:lastPrinted>
  <dcterms:modified xsi:type="dcterms:W3CDTF">2026-08-21T09:45:38Z</dcterms:modified>
  <dc:title>××产品质量监督抽查实施细则</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E565D08F418245C5AC0D07ACA95A9B93_13</vt:lpwstr>
  </property>
  <property fmtid="{D5CDD505-2E9C-101B-9397-08002B2CF9AE}" pid="4" name="KSOTemplateDocerSaveRecord">
    <vt:lpwstr>eyJoZGlkIjoiNTI0Mjc1NGYzYzllYzI2NDU4ODY2YTk1YTkxYWE5YWUiLCJ1c2VySWQiOiI4MDM4NjM2NTQifQ==</vt:lpwstr>
  </property>
</Properties>
</file>