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594" w:lineRule="exact"/>
        <w:jc w:val="center"/>
        <w:rPr>
          <w:rFonts w:eastAsia="方正小标宋简体"/>
          <w:sz w:val="32"/>
          <w:szCs w:val="32"/>
        </w:rPr>
      </w:pPr>
      <w:r>
        <w:rPr>
          <w:rFonts w:hint="eastAsia" w:eastAsia="方正小标宋简体"/>
          <w:sz w:val="32"/>
          <w:szCs w:val="32"/>
        </w:rPr>
        <w:t>辽宁省首饰</w:t>
      </w:r>
      <w:r>
        <w:rPr>
          <w:rFonts w:eastAsia="方正小标宋简体"/>
          <w:sz w:val="32"/>
          <w:szCs w:val="32"/>
        </w:rPr>
        <w:t>产品质量监督抽查实施细则</w:t>
      </w:r>
    </w:p>
    <w:p>
      <w:pPr>
        <w:spacing w:line="440" w:lineRule="exact"/>
        <w:jc w:val="center"/>
        <w:rPr>
          <w:rFonts w:eastAsia="方正小标宋简体"/>
          <w:color w:val="000000"/>
          <w:sz w:val="32"/>
          <w:szCs w:val="32"/>
        </w:rPr>
      </w:pPr>
    </w:p>
    <w:p>
      <w:pPr>
        <w:snapToGrid w:val="0"/>
        <w:spacing w:line="440" w:lineRule="exact"/>
        <w:rPr>
          <w:rFonts w:eastAsia="黑体"/>
          <w:szCs w:val="21"/>
        </w:rPr>
      </w:pPr>
      <w:r>
        <w:rPr>
          <w:rFonts w:eastAsia="黑体"/>
          <w:szCs w:val="21"/>
        </w:rPr>
        <w:t>1 抽样方法</w:t>
      </w:r>
    </w:p>
    <w:p>
      <w:pPr>
        <w:snapToGrid w:val="0"/>
        <w:spacing w:line="440" w:lineRule="exact"/>
        <w:ind w:firstLine="420" w:firstLineChars="200"/>
        <w:rPr>
          <w:color w:val="000000"/>
          <w:szCs w:val="21"/>
        </w:rPr>
      </w:pPr>
      <w:r>
        <w:rPr>
          <w:szCs w:val="21"/>
        </w:rPr>
        <w:t>以随机抽样的方式在被</w:t>
      </w:r>
      <w:r>
        <w:rPr>
          <w:color w:val="000000"/>
          <w:szCs w:val="21"/>
        </w:rPr>
        <w:t>抽样生产者、销售者的待销产品中抽取。</w:t>
      </w:r>
    </w:p>
    <w:p>
      <w:pPr>
        <w:snapToGrid w:val="0"/>
        <w:spacing w:line="440" w:lineRule="exact"/>
        <w:ind w:firstLine="420" w:firstLineChars="200"/>
        <w:rPr>
          <w:szCs w:val="21"/>
        </w:rPr>
      </w:pPr>
      <w:r>
        <w:rPr>
          <w:szCs w:val="21"/>
        </w:rPr>
        <w:t>随机数一般可使用随机数表等方法产生。</w:t>
      </w:r>
    </w:p>
    <w:p>
      <w:pPr>
        <w:snapToGrid w:val="0"/>
        <w:spacing w:line="440" w:lineRule="exact"/>
        <w:ind w:firstLine="420" w:firstLineChars="200"/>
        <w:rPr>
          <w:szCs w:val="21"/>
        </w:rPr>
      </w:pPr>
      <w:r>
        <w:rPr>
          <w:szCs w:val="21"/>
        </w:rPr>
        <w:t>抽样基数满足抽样数量即可。</w:t>
      </w:r>
    </w:p>
    <w:p>
      <w:pPr>
        <w:snapToGrid w:val="0"/>
        <w:spacing w:line="440" w:lineRule="exact"/>
        <w:ind w:firstLine="420" w:firstLineChars="200"/>
        <w:rPr>
          <w:rFonts w:hint="eastAsia"/>
          <w:szCs w:val="21"/>
        </w:rPr>
      </w:pPr>
      <w:r>
        <w:rPr>
          <w:szCs w:val="21"/>
        </w:rPr>
        <w:t>每种产品抽取样品1件，无备用样品。</w:t>
      </w:r>
    </w:p>
    <w:p>
      <w:pPr>
        <w:snapToGrid w:val="0"/>
        <w:spacing w:line="440" w:lineRule="exact"/>
        <w:ind w:firstLine="420" w:firstLineChars="200"/>
        <w:rPr>
          <w:szCs w:val="21"/>
        </w:rPr>
      </w:pPr>
    </w:p>
    <w:p>
      <w:pPr>
        <w:snapToGrid w:val="0"/>
        <w:spacing w:line="440" w:lineRule="exact"/>
        <w:rPr>
          <w:rFonts w:eastAsia="黑体"/>
          <w:szCs w:val="21"/>
        </w:rPr>
      </w:pPr>
      <w:r>
        <w:rPr>
          <w:rFonts w:eastAsia="黑体"/>
          <w:szCs w:val="21"/>
        </w:rPr>
        <w:t>2 检验依据</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645"/>
        <w:gridCol w:w="2650"/>
        <w:gridCol w:w="2414"/>
        <w:gridCol w:w="23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4" w:hRule="atLeast"/>
          <w:jc w:val="center"/>
        </w:trPr>
        <w:tc>
          <w:tcPr>
            <w:tcW w:w="645" w:type="dxa"/>
            <w:noWrap/>
            <w:vAlign w:val="center"/>
          </w:tcPr>
          <w:p>
            <w:pPr>
              <w:jc w:val="center"/>
              <w:rPr>
                <w:rFonts w:ascii="宋体" w:hAnsi="宋体" w:cs="宋体"/>
                <w:szCs w:val="21"/>
              </w:rPr>
            </w:pPr>
            <w:bookmarkStart w:id="0" w:name="_GoBack"/>
            <w:bookmarkEnd w:id="0"/>
            <w:r>
              <w:rPr>
                <w:rFonts w:hint="eastAsia" w:ascii="宋体" w:hAnsi="宋体" w:cs="宋体"/>
                <w:szCs w:val="21"/>
              </w:rPr>
              <w:t>序号</w:t>
            </w:r>
          </w:p>
        </w:tc>
        <w:tc>
          <w:tcPr>
            <w:tcW w:w="2650" w:type="dxa"/>
            <w:noWrap/>
            <w:vAlign w:val="center"/>
          </w:tcPr>
          <w:p>
            <w:pPr>
              <w:jc w:val="center"/>
              <w:rPr>
                <w:rFonts w:ascii="宋体" w:hAnsi="宋体" w:cs="宋体"/>
                <w:szCs w:val="21"/>
              </w:rPr>
            </w:pPr>
            <w:r>
              <w:rPr>
                <w:rFonts w:hint="eastAsia" w:ascii="宋体" w:hAnsi="宋体" w:cs="宋体"/>
                <w:szCs w:val="21"/>
              </w:rPr>
              <w:t>检 验 项 目</w:t>
            </w:r>
          </w:p>
        </w:tc>
        <w:tc>
          <w:tcPr>
            <w:tcW w:w="2414" w:type="dxa"/>
            <w:noWrap/>
            <w:vAlign w:val="center"/>
          </w:tcPr>
          <w:p>
            <w:pPr>
              <w:jc w:val="center"/>
              <w:rPr>
                <w:rFonts w:ascii="宋体" w:hAnsi="宋体" w:cs="宋体"/>
                <w:szCs w:val="21"/>
              </w:rPr>
            </w:pPr>
            <w:r>
              <w:rPr>
                <w:rFonts w:hint="eastAsia" w:ascii="宋体" w:hAnsi="宋体" w:cs="宋体"/>
                <w:szCs w:val="21"/>
              </w:rPr>
              <w:t>依据标准</w:t>
            </w:r>
          </w:p>
        </w:tc>
        <w:tc>
          <w:tcPr>
            <w:tcW w:w="2391" w:type="dxa"/>
            <w:vAlign w:val="center"/>
          </w:tcPr>
          <w:p>
            <w:pPr>
              <w:jc w:val="center"/>
              <w:rPr>
                <w:rFonts w:ascii="宋体" w:hAnsi="宋体" w:cs="宋体"/>
                <w:szCs w:val="21"/>
              </w:rPr>
            </w:pPr>
            <w:r>
              <w:rPr>
                <w:rFonts w:hint="eastAsia" w:ascii="宋体" w:hAnsi="宋体" w:cs="宋体"/>
                <w:szCs w:val="21"/>
              </w:rPr>
              <w:t>检测方法标准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269" w:hRule="atLeast"/>
          <w:jc w:val="center"/>
        </w:trPr>
        <w:tc>
          <w:tcPr>
            <w:tcW w:w="645" w:type="dxa"/>
            <w:noWrap/>
            <w:vAlign w:val="center"/>
          </w:tcPr>
          <w:p>
            <w:pPr>
              <w:jc w:val="center"/>
              <w:rPr>
                <w:rFonts w:ascii="宋体" w:hAnsi="宋体" w:cs="宋体"/>
                <w:szCs w:val="21"/>
              </w:rPr>
            </w:pPr>
            <w:r>
              <w:rPr>
                <w:rFonts w:hint="eastAsia" w:ascii="宋体" w:hAnsi="宋体" w:cs="宋体"/>
                <w:szCs w:val="21"/>
              </w:rPr>
              <w:t>1</w:t>
            </w:r>
          </w:p>
        </w:tc>
        <w:tc>
          <w:tcPr>
            <w:tcW w:w="2650" w:type="dxa"/>
            <w:noWrap/>
            <w:vAlign w:val="center"/>
          </w:tcPr>
          <w:p>
            <w:pPr>
              <w:jc w:val="center"/>
              <w:rPr>
                <w:rFonts w:ascii="宋体" w:hAnsi="宋体" w:cs="宋体"/>
                <w:szCs w:val="21"/>
              </w:rPr>
            </w:pPr>
            <w:r>
              <w:rPr>
                <w:rFonts w:hint="eastAsia" w:ascii="宋体" w:hAnsi="宋体" w:cs="宋体"/>
                <w:szCs w:val="21"/>
              </w:rPr>
              <w:t>贵金属纯度</w:t>
            </w:r>
          </w:p>
        </w:tc>
        <w:tc>
          <w:tcPr>
            <w:tcW w:w="2414" w:type="dxa"/>
            <w:noWrap/>
            <w:vAlign w:val="center"/>
          </w:tcPr>
          <w:p>
            <w:pPr>
              <w:jc w:val="center"/>
              <w:rPr>
                <w:rFonts w:ascii="宋体" w:hAnsi="宋体" w:cs="宋体"/>
                <w:szCs w:val="21"/>
              </w:rPr>
            </w:pPr>
            <w:r>
              <w:rPr>
                <w:rFonts w:hint="eastAsia" w:ascii="宋体" w:hAnsi="宋体" w:cs="宋体"/>
                <w:szCs w:val="21"/>
              </w:rPr>
              <w:t>GB11887-2012</w:t>
            </w:r>
          </w:p>
          <w:p>
            <w:pPr>
              <w:jc w:val="center"/>
              <w:rPr>
                <w:rFonts w:ascii="宋体" w:hAnsi="宋体" w:cs="宋体"/>
                <w:szCs w:val="21"/>
              </w:rPr>
            </w:pPr>
            <w:r>
              <w:rPr>
                <w:rFonts w:hint="eastAsia" w:ascii="宋体" w:hAnsi="宋体" w:cs="宋体"/>
                <w:szCs w:val="21"/>
              </w:rPr>
              <w:t>及第1号修改单</w:t>
            </w:r>
          </w:p>
          <w:p>
            <w:pPr>
              <w:jc w:val="center"/>
              <w:rPr>
                <w:rFonts w:ascii="宋体" w:hAnsi="宋体" w:cs="宋体"/>
                <w:szCs w:val="21"/>
              </w:rPr>
            </w:pPr>
            <w:r>
              <w:rPr>
                <w:rFonts w:hint="eastAsia" w:ascii="宋体" w:hAnsi="宋体" w:cs="宋体"/>
                <w:szCs w:val="21"/>
              </w:rPr>
              <w:t>相关产品标准</w:t>
            </w:r>
          </w:p>
        </w:tc>
        <w:tc>
          <w:tcPr>
            <w:tcW w:w="2391" w:type="dxa"/>
            <w:vAlign w:val="center"/>
          </w:tcPr>
          <w:p>
            <w:pPr>
              <w:jc w:val="center"/>
              <w:rPr>
                <w:rFonts w:ascii="宋体" w:hAnsi="宋体" w:cs="宋体"/>
                <w:szCs w:val="21"/>
              </w:rPr>
            </w:pPr>
            <w:r>
              <w:rPr>
                <w:rFonts w:hint="eastAsia" w:ascii="宋体" w:hAnsi="宋体" w:cs="宋体"/>
                <w:szCs w:val="21"/>
              </w:rPr>
              <w:t>GB/T 18043-2013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90" w:hRule="atLeast"/>
          <w:jc w:val="center"/>
        </w:trPr>
        <w:tc>
          <w:tcPr>
            <w:tcW w:w="645" w:type="dxa"/>
            <w:noWrap/>
            <w:vAlign w:val="center"/>
          </w:tcPr>
          <w:p>
            <w:pPr>
              <w:jc w:val="center"/>
              <w:rPr>
                <w:rFonts w:ascii="宋体" w:hAnsi="宋体" w:cs="宋体"/>
                <w:szCs w:val="21"/>
              </w:rPr>
            </w:pPr>
            <w:r>
              <w:rPr>
                <w:rFonts w:hint="eastAsia" w:ascii="宋体" w:hAnsi="宋体" w:cs="宋体"/>
                <w:szCs w:val="21"/>
              </w:rPr>
              <w:t>2</w:t>
            </w:r>
          </w:p>
        </w:tc>
        <w:tc>
          <w:tcPr>
            <w:tcW w:w="2650" w:type="dxa"/>
            <w:noWrap/>
            <w:vAlign w:val="center"/>
          </w:tcPr>
          <w:p>
            <w:pPr>
              <w:jc w:val="center"/>
              <w:rPr>
                <w:rFonts w:ascii="宋体" w:hAnsi="宋体" w:cs="宋体"/>
                <w:szCs w:val="21"/>
              </w:rPr>
            </w:pPr>
            <w:r>
              <w:rPr>
                <w:rFonts w:hint="eastAsia" w:ascii="宋体" w:hAnsi="宋体" w:cs="宋体"/>
                <w:szCs w:val="21"/>
              </w:rPr>
              <w:t>贵金属饰品质量测量允差</w:t>
            </w:r>
          </w:p>
        </w:tc>
        <w:tc>
          <w:tcPr>
            <w:tcW w:w="2414" w:type="dxa"/>
            <w:noWrap/>
            <w:vAlign w:val="center"/>
          </w:tcPr>
          <w:p>
            <w:pPr>
              <w:jc w:val="center"/>
              <w:rPr>
                <w:rFonts w:ascii="宋体" w:hAnsi="宋体" w:cs="宋体"/>
                <w:szCs w:val="21"/>
              </w:rPr>
            </w:pPr>
            <w:r>
              <w:rPr>
                <w:rFonts w:hint="eastAsia" w:ascii="宋体" w:hAnsi="宋体" w:cs="宋体"/>
                <w:szCs w:val="21"/>
              </w:rPr>
              <w:t>QB/T 1690-2021</w:t>
            </w:r>
          </w:p>
        </w:tc>
        <w:tc>
          <w:tcPr>
            <w:tcW w:w="2391" w:type="dxa"/>
            <w:vAlign w:val="center"/>
          </w:tcPr>
          <w:p>
            <w:pPr>
              <w:jc w:val="center"/>
              <w:rPr>
                <w:rFonts w:ascii="宋体" w:hAnsi="宋体" w:cs="宋体"/>
                <w:szCs w:val="21"/>
              </w:rPr>
            </w:pPr>
            <w:r>
              <w:rPr>
                <w:rFonts w:hint="eastAsia" w:ascii="宋体" w:hAnsi="宋体" w:cs="宋体"/>
                <w:szCs w:val="21"/>
              </w:rPr>
              <w:t>QB/T 1690-2021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90" w:hRule="atLeast"/>
          <w:jc w:val="center"/>
        </w:trPr>
        <w:tc>
          <w:tcPr>
            <w:tcW w:w="645" w:type="dxa"/>
            <w:noWrap/>
            <w:vAlign w:val="center"/>
          </w:tcPr>
          <w:p>
            <w:pPr>
              <w:jc w:val="center"/>
              <w:rPr>
                <w:rFonts w:ascii="宋体" w:hAnsi="宋体" w:cs="宋体"/>
                <w:szCs w:val="21"/>
              </w:rPr>
            </w:pPr>
            <w:r>
              <w:rPr>
                <w:rFonts w:hint="eastAsia" w:ascii="宋体" w:hAnsi="宋体" w:cs="宋体"/>
                <w:szCs w:val="21"/>
              </w:rPr>
              <w:t>3</w:t>
            </w:r>
          </w:p>
        </w:tc>
        <w:tc>
          <w:tcPr>
            <w:tcW w:w="2650" w:type="dxa"/>
            <w:noWrap/>
            <w:vAlign w:val="center"/>
          </w:tcPr>
          <w:p>
            <w:pPr>
              <w:jc w:val="center"/>
              <w:rPr>
                <w:rFonts w:ascii="宋体" w:hAnsi="宋体" w:cs="宋体"/>
                <w:szCs w:val="21"/>
              </w:rPr>
            </w:pPr>
            <w:r>
              <w:rPr>
                <w:rFonts w:hint="eastAsia" w:ascii="宋体" w:hAnsi="宋体" w:cs="宋体"/>
                <w:szCs w:val="21"/>
              </w:rPr>
              <w:t>总质量</w:t>
            </w:r>
          </w:p>
        </w:tc>
        <w:tc>
          <w:tcPr>
            <w:tcW w:w="2414" w:type="dxa"/>
            <w:noWrap/>
            <w:vAlign w:val="center"/>
          </w:tcPr>
          <w:p>
            <w:pPr>
              <w:jc w:val="center"/>
              <w:rPr>
                <w:rFonts w:ascii="宋体" w:hAnsi="宋体" w:cs="宋体"/>
                <w:szCs w:val="21"/>
              </w:rPr>
            </w:pPr>
            <w:r>
              <w:rPr>
                <w:rFonts w:hint="eastAsia" w:ascii="宋体" w:hAnsi="宋体" w:cs="宋体"/>
                <w:szCs w:val="21"/>
              </w:rPr>
              <w:t>QB/T 1690-2021</w:t>
            </w:r>
          </w:p>
          <w:p>
            <w:pPr>
              <w:jc w:val="center"/>
              <w:rPr>
                <w:rFonts w:ascii="宋体" w:hAnsi="宋体" w:cs="宋体"/>
                <w:szCs w:val="21"/>
              </w:rPr>
            </w:pPr>
            <w:r>
              <w:rPr>
                <w:rFonts w:hint="eastAsia" w:ascii="宋体" w:hAnsi="宋体" w:cs="宋体"/>
                <w:szCs w:val="21"/>
              </w:rPr>
              <w:t>GB/T16553-2017</w:t>
            </w:r>
          </w:p>
        </w:tc>
        <w:tc>
          <w:tcPr>
            <w:tcW w:w="2391" w:type="dxa"/>
            <w:vAlign w:val="center"/>
          </w:tcPr>
          <w:p>
            <w:pPr>
              <w:jc w:val="center"/>
              <w:rPr>
                <w:rFonts w:ascii="宋体" w:hAnsi="宋体" w:cs="宋体"/>
                <w:szCs w:val="21"/>
              </w:rPr>
            </w:pPr>
            <w:r>
              <w:rPr>
                <w:rFonts w:hint="eastAsia" w:ascii="宋体" w:hAnsi="宋体" w:cs="宋体"/>
                <w:szCs w:val="21"/>
              </w:rPr>
              <w:t>QB/T 1690-2021</w:t>
            </w:r>
          </w:p>
          <w:p>
            <w:pPr>
              <w:jc w:val="center"/>
              <w:rPr>
                <w:rFonts w:ascii="宋体" w:hAnsi="宋体" w:cs="宋体"/>
                <w:szCs w:val="21"/>
              </w:rPr>
            </w:pPr>
            <w:r>
              <w:rPr>
                <w:rFonts w:hint="eastAsia" w:ascii="宋体" w:hAnsi="宋体" w:cs="宋体"/>
                <w:szCs w:val="21"/>
              </w:rPr>
              <w:t>GB/T16553-2017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90" w:hRule="atLeast"/>
          <w:jc w:val="center"/>
        </w:trPr>
        <w:tc>
          <w:tcPr>
            <w:tcW w:w="645" w:type="dxa"/>
            <w:noWrap/>
            <w:vAlign w:val="center"/>
          </w:tcPr>
          <w:p>
            <w:pPr>
              <w:jc w:val="center"/>
              <w:rPr>
                <w:rFonts w:ascii="宋体" w:hAnsi="宋体" w:cs="宋体"/>
                <w:szCs w:val="21"/>
              </w:rPr>
            </w:pPr>
            <w:r>
              <w:rPr>
                <w:rFonts w:hint="eastAsia" w:ascii="宋体" w:hAnsi="宋体" w:cs="宋体"/>
                <w:szCs w:val="21"/>
              </w:rPr>
              <w:t>4</w:t>
            </w:r>
          </w:p>
        </w:tc>
        <w:tc>
          <w:tcPr>
            <w:tcW w:w="2650" w:type="dxa"/>
            <w:noWrap/>
            <w:vAlign w:val="center"/>
          </w:tcPr>
          <w:p>
            <w:pPr>
              <w:jc w:val="center"/>
              <w:rPr>
                <w:rFonts w:ascii="宋体" w:hAnsi="宋体" w:cs="宋体"/>
                <w:szCs w:val="21"/>
              </w:rPr>
            </w:pPr>
            <w:r>
              <w:rPr>
                <w:rFonts w:hint="eastAsia" w:ascii="宋体" w:hAnsi="宋体" w:cs="宋体"/>
                <w:szCs w:val="21"/>
              </w:rPr>
              <w:t>首饰产品标识</w:t>
            </w:r>
          </w:p>
        </w:tc>
        <w:tc>
          <w:tcPr>
            <w:tcW w:w="2414" w:type="dxa"/>
            <w:noWrap/>
            <w:vAlign w:val="center"/>
          </w:tcPr>
          <w:p>
            <w:pPr>
              <w:jc w:val="center"/>
              <w:rPr>
                <w:rFonts w:ascii="宋体" w:hAnsi="宋体" w:cs="宋体"/>
                <w:szCs w:val="21"/>
              </w:rPr>
            </w:pPr>
            <w:r>
              <w:rPr>
                <w:rFonts w:hint="eastAsia" w:ascii="宋体" w:hAnsi="宋体" w:cs="宋体"/>
                <w:szCs w:val="21"/>
              </w:rPr>
              <w:t>GB 11887-2012</w:t>
            </w:r>
          </w:p>
        </w:tc>
        <w:tc>
          <w:tcPr>
            <w:tcW w:w="2391" w:type="dxa"/>
            <w:vAlign w:val="center"/>
          </w:tcPr>
          <w:p>
            <w:pPr>
              <w:jc w:val="center"/>
              <w:rPr>
                <w:rFonts w:ascii="宋体" w:hAnsi="宋体" w:cs="宋体"/>
                <w:szCs w:val="21"/>
              </w:rPr>
            </w:pPr>
            <w:r>
              <w:rPr>
                <w:rFonts w:hint="eastAsia" w:ascii="宋体" w:hAnsi="宋体" w:cs="宋体"/>
                <w:szCs w:val="21"/>
              </w:rPr>
              <w:t>GB 11887-2012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90" w:hRule="atLeast"/>
          <w:jc w:val="center"/>
        </w:trPr>
        <w:tc>
          <w:tcPr>
            <w:tcW w:w="645" w:type="dxa"/>
            <w:noWrap/>
            <w:vAlign w:val="center"/>
          </w:tcPr>
          <w:p>
            <w:pPr>
              <w:jc w:val="center"/>
              <w:rPr>
                <w:rFonts w:ascii="宋体" w:hAnsi="宋体" w:cs="宋体"/>
                <w:szCs w:val="21"/>
              </w:rPr>
            </w:pPr>
            <w:r>
              <w:rPr>
                <w:rFonts w:hint="eastAsia" w:ascii="宋体" w:hAnsi="宋体" w:cs="宋体"/>
                <w:szCs w:val="21"/>
              </w:rPr>
              <w:t>5</w:t>
            </w:r>
          </w:p>
        </w:tc>
        <w:tc>
          <w:tcPr>
            <w:tcW w:w="2650" w:type="dxa"/>
            <w:noWrap/>
            <w:vAlign w:val="center"/>
          </w:tcPr>
          <w:p>
            <w:pPr>
              <w:jc w:val="center"/>
              <w:rPr>
                <w:rFonts w:ascii="宋体" w:hAnsi="宋体" w:cs="宋体"/>
                <w:szCs w:val="21"/>
              </w:rPr>
            </w:pPr>
            <w:r>
              <w:rPr>
                <w:rFonts w:hint="eastAsia" w:ascii="宋体" w:hAnsi="宋体" w:cs="宋体"/>
                <w:szCs w:val="21"/>
              </w:rPr>
              <w:t>标识</w:t>
            </w:r>
          </w:p>
        </w:tc>
        <w:tc>
          <w:tcPr>
            <w:tcW w:w="2414" w:type="dxa"/>
            <w:noWrap/>
            <w:vAlign w:val="center"/>
          </w:tcPr>
          <w:p>
            <w:pPr>
              <w:jc w:val="center"/>
              <w:rPr>
                <w:rFonts w:ascii="宋体" w:hAnsi="宋体" w:cs="宋体"/>
                <w:szCs w:val="21"/>
              </w:rPr>
            </w:pPr>
            <w:r>
              <w:rPr>
                <w:rFonts w:hint="eastAsia" w:ascii="宋体" w:hAnsi="宋体" w:cs="宋体"/>
                <w:szCs w:val="21"/>
              </w:rPr>
              <w:t>GB/T 31912-2015</w:t>
            </w:r>
          </w:p>
        </w:tc>
        <w:tc>
          <w:tcPr>
            <w:tcW w:w="2391" w:type="dxa"/>
            <w:vAlign w:val="center"/>
          </w:tcPr>
          <w:p>
            <w:pPr>
              <w:jc w:val="center"/>
              <w:rPr>
                <w:rFonts w:ascii="宋体" w:hAnsi="宋体" w:cs="宋体"/>
                <w:szCs w:val="21"/>
              </w:rPr>
            </w:pPr>
            <w:r>
              <w:rPr>
                <w:rFonts w:hint="eastAsia" w:ascii="宋体" w:hAnsi="宋体" w:cs="宋体"/>
                <w:szCs w:val="21"/>
              </w:rPr>
              <w:t>GB/T 31912-2015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90" w:hRule="atLeast"/>
          <w:jc w:val="center"/>
        </w:trPr>
        <w:tc>
          <w:tcPr>
            <w:tcW w:w="645" w:type="dxa"/>
            <w:noWrap/>
            <w:vAlign w:val="center"/>
          </w:tcPr>
          <w:p>
            <w:pPr>
              <w:jc w:val="center"/>
              <w:rPr>
                <w:rFonts w:ascii="宋体" w:hAnsi="宋体" w:cs="宋体"/>
                <w:szCs w:val="21"/>
              </w:rPr>
            </w:pPr>
            <w:r>
              <w:rPr>
                <w:rFonts w:hint="eastAsia" w:ascii="宋体" w:hAnsi="宋体" w:cs="宋体"/>
                <w:szCs w:val="21"/>
              </w:rPr>
              <w:t>6</w:t>
            </w:r>
          </w:p>
        </w:tc>
        <w:tc>
          <w:tcPr>
            <w:tcW w:w="2650" w:type="dxa"/>
            <w:noWrap/>
            <w:vAlign w:val="center"/>
          </w:tcPr>
          <w:p>
            <w:pPr>
              <w:jc w:val="center"/>
              <w:rPr>
                <w:rFonts w:ascii="宋体" w:hAnsi="宋体" w:cs="宋体"/>
                <w:szCs w:val="21"/>
              </w:rPr>
            </w:pPr>
            <w:r>
              <w:rPr>
                <w:rFonts w:hint="eastAsia" w:ascii="宋体" w:hAnsi="宋体" w:cs="宋体"/>
                <w:szCs w:val="21"/>
              </w:rPr>
              <w:t>宝石定名</w:t>
            </w:r>
          </w:p>
        </w:tc>
        <w:tc>
          <w:tcPr>
            <w:tcW w:w="2414" w:type="dxa"/>
            <w:noWrap/>
            <w:vAlign w:val="center"/>
          </w:tcPr>
          <w:p>
            <w:pPr>
              <w:jc w:val="center"/>
              <w:rPr>
                <w:rFonts w:ascii="宋体" w:hAnsi="宋体" w:cs="宋体"/>
                <w:szCs w:val="21"/>
              </w:rPr>
            </w:pPr>
            <w:r>
              <w:rPr>
                <w:rFonts w:hint="eastAsia" w:ascii="宋体" w:hAnsi="宋体" w:cs="宋体"/>
                <w:szCs w:val="21"/>
              </w:rPr>
              <w:t>GB/T 16552-2017</w:t>
            </w:r>
          </w:p>
          <w:p>
            <w:pPr>
              <w:jc w:val="center"/>
              <w:rPr>
                <w:rFonts w:ascii="宋体" w:hAnsi="宋体" w:cs="宋体"/>
                <w:szCs w:val="21"/>
              </w:rPr>
            </w:pPr>
            <w:r>
              <w:rPr>
                <w:rFonts w:hint="eastAsia" w:ascii="宋体" w:hAnsi="宋体" w:cs="宋体"/>
                <w:szCs w:val="21"/>
              </w:rPr>
              <w:t>相关产品标准</w:t>
            </w:r>
          </w:p>
        </w:tc>
        <w:tc>
          <w:tcPr>
            <w:tcW w:w="2391" w:type="dxa"/>
            <w:vAlign w:val="center"/>
          </w:tcPr>
          <w:p>
            <w:pPr>
              <w:jc w:val="center"/>
              <w:rPr>
                <w:rFonts w:ascii="宋体" w:hAnsi="宋体" w:cs="宋体"/>
                <w:szCs w:val="21"/>
              </w:rPr>
            </w:pPr>
            <w:r>
              <w:rPr>
                <w:rFonts w:hint="eastAsia" w:ascii="宋体" w:hAnsi="宋体" w:cs="宋体"/>
                <w:szCs w:val="21"/>
              </w:rPr>
              <w:t>GB/T 16552-2017</w:t>
            </w:r>
          </w:p>
          <w:p>
            <w:pPr>
              <w:jc w:val="center"/>
              <w:rPr>
                <w:rFonts w:ascii="宋体" w:hAnsi="宋体" w:cs="宋体"/>
                <w:szCs w:val="21"/>
              </w:rPr>
            </w:pPr>
            <w:r>
              <w:rPr>
                <w:rFonts w:hint="eastAsia" w:ascii="宋体" w:hAnsi="宋体" w:cs="宋体"/>
                <w:szCs w:val="21"/>
              </w:rPr>
              <w:t>GB/T16553-2017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90" w:hRule="atLeast"/>
          <w:jc w:val="center"/>
        </w:trPr>
        <w:tc>
          <w:tcPr>
            <w:tcW w:w="645" w:type="dxa"/>
            <w:noWrap/>
            <w:vAlign w:val="center"/>
          </w:tcPr>
          <w:p>
            <w:pPr>
              <w:jc w:val="center"/>
              <w:rPr>
                <w:rFonts w:ascii="宋体" w:hAnsi="宋体" w:cs="宋体"/>
                <w:szCs w:val="21"/>
              </w:rPr>
            </w:pPr>
            <w:r>
              <w:rPr>
                <w:rFonts w:hint="eastAsia" w:ascii="宋体" w:hAnsi="宋体" w:cs="宋体"/>
                <w:szCs w:val="21"/>
              </w:rPr>
              <w:t>7</w:t>
            </w:r>
          </w:p>
        </w:tc>
        <w:tc>
          <w:tcPr>
            <w:tcW w:w="2650" w:type="dxa"/>
            <w:noWrap/>
            <w:vAlign w:val="center"/>
          </w:tcPr>
          <w:p>
            <w:pPr>
              <w:jc w:val="center"/>
              <w:rPr>
                <w:rFonts w:ascii="宋体" w:hAnsi="宋体" w:cs="宋体"/>
                <w:szCs w:val="21"/>
              </w:rPr>
            </w:pPr>
            <w:r>
              <w:rPr>
                <w:rFonts w:hint="eastAsia" w:ascii="宋体" w:hAnsi="宋体" w:cs="宋体"/>
                <w:szCs w:val="21"/>
              </w:rPr>
              <w:t>钻石颜色分级</w:t>
            </w:r>
          </w:p>
        </w:tc>
        <w:tc>
          <w:tcPr>
            <w:tcW w:w="2414" w:type="dxa"/>
            <w:vMerge w:val="restart"/>
            <w:noWrap/>
            <w:vAlign w:val="center"/>
          </w:tcPr>
          <w:p>
            <w:pPr>
              <w:jc w:val="center"/>
              <w:rPr>
                <w:rFonts w:ascii="宋体" w:hAnsi="宋体" w:cs="宋体"/>
                <w:szCs w:val="21"/>
              </w:rPr>
            </w:pPr>
            <w:r>
              <w:rPr>
                <w:rFonts w:hint="eastAsia" w:ascii="宋体" w:hAnsi="宋体" w:cs="宋体"/>
                <w:szCs w:val="21"/>
              </w:rPr>
              <w:t xml:space="preserve">GB/T 16554-2017 </w:t>
            </w:r>
          </w:p>
        </w:tc>
        <w:tc>
          <w:tcPr>
            <w:tcW w:w="2391" w:type="dxa"/>
            <w:vMerge w:val="restart"/>
            <w:vAlign w:val="center"/>
          </w:tcPr>
          <w:p>
            <w:pPr>
              <w:jc w:val="center"/>
              <w:rPr>
                <w:rFonts w:ascii="宋体" w:hAnsi="宋体" w:cs="宋体"/>
                <w:szCs w:val="21"/>
              </w:rPr>
            </w:pPr>
            <w:r>
              <w:rPr>
                <w:rFonts w:hint="eastAsia" w:ascii="宋体" w:hAnsi="宋体" w:cs="宋体"/>
                <w:szCs w:val="21"/>
              </w:rPr>
              <w:t>GB/T 16554-2017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90" w:hRule="atLeast"/>
          <w:jc w:val="center"/>
        </w:trPr>
        <w:tc>
          <w:tcPr>
            <w:tcW w:w="645" w:type="dxa"/>
            <w:noWrap/>
            <w:vAlign w:val="center"/>
          </w:tcPr>
          <w:p>
            <w:pPr>
              <w:jc w:val="center"/>
              <w:rPr>
                <w:rFonts w:ascii="宋体" w:hAnsi="宋体" w:cs="宋体"/>
                <w:szCs w:val="21"/>
              </w:rPr>
            </w:pPr>
            <w:r>
              <w:rPr>
                <w:rFonts w:hint="eastAsia" w:ascii="宋体" w:hAnsi="宋体" w:cs="宋体"/>
                <w:szCs w:val="21"/>
              </w:rPr>
              <w:t>8</w:t>
            </w:r>
          </w:p>
        </w:tc>
        <w:tc>
          <w:tcPr>
            <w:tcW w:w="2650" w:type="dxa"/>
            <w:noWrap/>
            <w:vAlign w:val="center"/>
          </w:tcPr>
          <w:p>
            <w:pPr>
              <w:jc w:val="center"/>
              <w:rPr>
                <w:rFonts w:ascii="宋体" w:hAnsi="宋体" w:cs="宋体"/>
                <w:szCs w:val="21"/>
              </w:rPr>
            </w:pPr>
            <w:r>
              <w:rPr>
                <w:rFonts w:hint="eastAsia" w:ascii="宋体" w:hAnsi="宋体" w:cs="宋体"/>
                <w:szCs w:val="21"/>
              </w:rPr>
              <w:t>钻石净度分级</w:t>
            </w:r>
          </w:p>
        </w:tc>
        <w:tc>
          <w:tcPr>
            <w:tcW w:w="2414" w:type="dxa"/>
            <w:vMerge w:val="continue"/>
            <w:noWrap/>
            <w:vAlign w:val="center"/>
          </w:tcPr>
          <w:p>
            <w:pPr>
              <w:jc w:val="center"/>
              <w:rPr>
                <w:rFonts w:ascii="宋体" w:hAnsi="宋体" w:cs="宋体"/>
                <w:szCs w:val="21"/>
              </w:rPr>
            </w:pPr>
          </w:p>
        </w:tc>
        <w:tc>
          <w:tcPr>
            <w:tcW w:w="2391" w:type="dxa"/>
            <w:vMerge w:val="continue"/>
            <w:vAlign w:val="center"/>
          </w:tcPr>
          <w:p>
            <w:pPr>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90" w:hRule="atLeast"/>
          <w:jc w:val="center"/>
        </w:trPr>
        <w:tc>
          <w:tcPr>
            <w:tcW w:w="645" w:type="dxa"/>
            <w:noWrap/>
            <w:vAlign w:val="center"/>
          </w:tcPr>
          <w:p>
            <w:pPr>
              <w:jc w:val="center"/>
              <w:rPr>
                <w:rFonts w:ascii="宋体" w:hAnsi="宋体" w:cs="宋体"/>
                <w:szCs w:val="21"/>
              </w:rPr>
            </w:pPr>
            <w:r>
              <w:rPr>
                <w:rFonts w:hint="eastAsia" w:ascii="宋体" w:hAnsi="宋体" w:cs="宋体"/>
                <w:szCs w:val="21"/>
              </w:rPr>
              <w:t>9</w:t>
            </w:r>
          </w:p>
        </w:tc>
        <w:tc>
          <w:tcPr>
            <w:tcW w:w="2650" w:type="dxa"/>
            <w:noWrap/>
            <w:vAlign w:val="center"/>
          </w:tcPr>
          <w:p>
            <w:pPr>
              <w:jc w:val="center"/>
              <w:rPr>
                <w:rFonts w:ascii="宋体" w:hAnsi="宋体" w:cs="宋体"/>
                <w:szCs w:val="21"/>
              </w:rPr>
            </w:pPr>
            <w:r>
              <w:rPr>
                <w:rFonts w:hint="eastAsia" w:ascii="宋体" w:hAnsi="宋体" w:cs="宋体"/>
                <w:szCs w:val="21"/>
              </w:rPr>
              <w:t>钻石切工分级</w:t>
            </w:r>
          </w:p>
        </w:tc>
        <w:tc>
          <w:tcPr>
            <w:tcW w:w="2414" w:type="dxa"/>
            <w:vMerge w:val="continue"/>
            <w:noWrap/>
            <w:vAlign w:val="center"/>
          </w:tcPr>
          <w:p>
            <w:pPr>
              <w:jc w:val="center"/>
              <w:rPr>
                <w:rFonts w:ascii="宋体" w:hAnsi="宋体" w:cs="宋体"/>
                <w:szCs w:val="21"/>
              </w:rPr>
            </w:pPr>
          </w:p>
        </w:tc>
        <w:tc>
          <w:tcPr>
            <w:tcW w:w="2391" w:type="dxa"/>
            <w:vMerge w:val="continue"/>
            <w:vAlign w:val="center"/>
          </w:tcPr>
          <w:p>
            <w:pPr>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90" w:hRule="atLeast"/>
          <w:jc w:val="center"/>
        </w:trPr>
        <w:tc>
          <w:tcPr>
            <w:tcW w:w="645" w:type="dxa"/>
            <w:noWrap/>
            <w:vAlign w:val="center"/>
          </w:tcPr>
          <w:p>
            <w:pPr>
              <w:jc w:val="center"/>
              <w:rPr>
                <w:rFonts w:ascii="宋体" w:hAnsi="宋体" w:cs="宋体"/>
                <w:szCs w:val="21"/>
              </w:rPr>
            </w:pPr>
            <w:r>
              <w:rPr>
                <w:rFonts w:hint="eastAsia" w:ascii="宋体" w:hAnsi="宋体" w:cs="宋体"/>
                <w:szCs w:val="21"/>
              </w:rPr>
              <w:t>10</w:t>
            </w:r>
          </w:p>
        </w:tc>
        <w:tc>
          <w:tcPr>
            <w:tcW w:w="2650" w:type="dxa"/>
            <w:noWrap/>
            <w:vAlign w:val="center"/>
          </w:tcPr>
          <w:p>
            <w:pPr>
              <w:jc w:val="center"/>
              <w:rPr>
                <w:rFonts w:ascii="宋体" w:hAnsi="宋体" w:cs="宋体"/>
                <w:szCs w:val="21"/>
              </w:rPr>
            </w:pPr>
            <w:r>
              <w:rPr>
                <w:rFonts w:hint="eastAsia" w:ascii="宋体" w:hAnsi="宋体" w:cs="宋体"/>
                <w:szCs w:val="21"/>
              </w:rPr>
              <w:t>钻石质量分级</w:t>
            </w:r>
          </w:p>
        </w:tc>
        <w:tc>
          <w:tcPr>
            <w:tcW w:w="2414" w:type="dxa"/>
            <w:vMerge w:val="continue"/>
            <w:noWrap/>
            <w:vAlign w:val="center"/>
          </w:tcPr>
          <w:p>
            <w:pPr>
              <w:jc w:val="center"/>
              <w:rPr>
                <w:rFonts w:ascii="宋体" w:hAnsi="宋体" w:cs="宋体"/>
                <w:szCs w:val="21"/>
              </w:rPr>
            </w:pPr>
          </w:p>
        </w:tc>
        <w:tc>
          <w:tcPr>
            <w:tcW w:w="2391" w:type="dxa"/>
            <w:vMerge w:val="continue"/>
            <w:vAlign w:val="center"/>
          </w:tcPr>
          <w:p>
            <w:pPr>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4" w:hRule="atLeast"/>
          <w:jc w:val="center"/>
        </w:trPr>
        <w:tc>
          <w:tcPr>
            <w:tcW w:w="645" w:type="dxa"/>
            <w:noWrap/>
            <w:vAlign w:val="center"/>
          </w:tcPr>
          <w:p>
            <w:pPr>
              <w:jc w:val="center"/>
              <w:rPr>
                <w:rFonts w:ascii="宋体" w:hAnsi="宋体" w:cs="宋体"/>
                <w:szCs w:val="21"/>
              </w:rPr>
            </w:pPr>
            <w:r>
              <w:rPr>
                <w:rFonts w:hint="eastAsia" w:ascii="宋体" w:hAnsi="宋体" w:cs="宋体"/>
                <w:szCs w:val="21"/>
              </w:rPr>
              <w:t>11</w:t>
            </w:r>
          </w:p>
        </w:tc>
        <w:tc>
          <w:tcPr>
            <w:tcW w:w="2650" w:type="dxa"/>
            <w:noWrap/>
            <w:vAlign w:val="center"/>
          </w:tcPr>
          <w:p>
            <w:pPr>
              <w:jc w:val="center"/>
              <w:rPr>
                <w:rFonts w:ascii="宋体" w:hAnsi="宋体" w:cs="宋体"/>
                <w:szCs w:val="21"/>
              </w:rPr>
            </w:pPr>
            <w:r>
              <w:rPr>
                <w:rFonts w:hint="eastAsia" w:ascii="宋体" w:hAnsi="宋体" w:cs="宋体"/>
                <w:szCs w:val="21"/>
              </w:rPr>
              <w:t>外观描述（颜色、形状、光泽、特殊光学效应等）</w:t>
            </w:r>
          </w:p>
        </w:tc>
        <w:tc>
          <w:tcPr>
            <w:tcW w:w="2414" w:type="dxa"/>
            <w:vMerge w:val="restart"/>
            <w:noWrap/>
            <w:vAlign w:val="center"/>
          </w:tcPr>
          <w:p>
            <w:pPr>
              <w:jc w:val="center"/>
              <w:rPr>
                <w:rFonts w:ascii="宋体" w:hAnsi="宋体" w:cs="宋体"/>
                <w:szCs w:val="21"/>
              </w:rPr>
            </w:pPr>
            <w:r>
              <w:rPr>
                <w:rFonts w:hint="eastAsia" w:ascii="宋体" w:hAnsi="宋体" w:cs="宋体"/>
                <w:szCs w:val="21"/>
              </w:rPr>
              <w:t>GB/T16553-2017</w:t>
            </w:r>
          </w:p>
        </w:tc>
        <w:tc>
          <w:tcPr>
            <w:tcW w:w="2391" w:type="dxa"/>
            <w:vMerge w:val="restart"/>
            <w:vAlign w:val="center"/>
          </w:tcPr>
          <w:p>
            <w:pPr>
              <w:jc w:val="center"/>
              <w:rPr>
                <w:rFonts w:ascii="宋体" w:hAnsi="宋体" w:cs="宋体"/>
                <w:szCs w:val="21"/>
              </w:rPr>
            </w:pPr>
            <w:r>
              <w:rPr>
                <w:rFonts w:hint="eastAsia" w:ascii="宋体" w:hAnsi="宋体" w:cs="宋体"/>
                <w:szCs w:val="21"/>
              </w:rPr>
              <w:t>GB/T16553-2017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90" w:hRule="atLeast"/>
          <w:jc w:val="center"/>
        </w:trPr>
        <w:tc>
          <w:tcPr>
            <w:tcW w:w="645" w:type="dxa"/>
            <w:noWrap/>
            <w:vAlign w:val="center"/>
          </w:tcPr>
          <w:p>
            <w:pPr>
              <w:jc w:val="center"/>
              <w:rPr>
                <w:rFonts w:ascii="宋体" w:hAnsi="宋体" w:cs="宋体"/>
                <w:szCs w:val="21"/>
              </w:rPr>
            </w:pPr>
            <w:r>
              <w:rPr>
                <w:rFonts w:hint="eastAsia" w:ascii="宋体" w:hAnsi="宋体" w:cs="宋体"/>
                <w:szCs w:val="21"/>
              </w:rPr>
              <w:t>12</w:t>
            </w:r>
          </w:p>
        </w:tc>
        <w:tc>
          <w:tcPr>
            <w:tcW w:w="2650" w:type="dxa"/>
            <w:noWrap/>
            <w:vAlign w:val="center"/>
          </w:tcPr>
          <w:p>
            <w:pPr>
              <w:jc w:val="center"/>
              <w:rPr>
                <w:rFonts w:ascii="宋体" w:hAnsi="宋体" w:cs="宋体"/>
                <w:szCs w:val="21"/>
              </w:rPr>
            </w:pPr>
            <w:r>
              <w:rPr>
                <w:rFonts w:hint="eastAsia" w:ascii="宋体" w:hAnsi="宋体" w:cs="宋体"/>
                <w:szCs w:val="21"/>
              </w:rPr>
              <w:t>放大检查</w:t>
            </w:r>
          </w:p>
        </w:tc>
        <w:tc>
          <w:tcPr>
            <w:tcW w:w="2414" w:type="dxa"/>
            <w:vMerge w:val="continue"/>
            <w:noWrap/>
            <w:vAlign w:val="center"/>
          </w:tcPr>
          <w:p>
            <w:pPr>
              <w:jc w:val="center"/>
              <w:rPr>
                <w:rFonts w:ascii="宋体" w:hAnsi="宋体" w:cs="宋体"/>
                <w:szCs w:val="21"/>
              </w:rPr>
            </w:pPr>
          </w:p>
        </w:tc>
        <w:tc>
          <w:tcPr>
            <w:tcW w:w="2391" w:type="dxa"/>
            <w:vMerge w:val="continue"/>
            <w:vAlign w:val="center"/>
          </w:tcPr>
          <w:p>
            <w:pPr>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90" w:hRule="atLeast"/>
          <w:jc w:val="center"/>
        </w:trPr>
        <w:tc>
          <w:tcPr>
            <w:tcW w:w="645" w:type="dxa"/>
            <w:noWrap/>
            <w:vAlign w:val="center"/>
          </w:tcPr>
          <w:p>
            <w:pPr>
              <w:jc w:val="center"/>
              <w:rPr>
                <w:rFonts w:ascii="宋体" w:hAnsi="宋体" w:cs="宋体"/>
                <w:szCs w:val="21"/>
              </w:rPr>
            </w:pPr>
            <w:r>
              <w:rPr>
                <w:rFonts w:hint="eastAsia" w:ascii="宋体" w:hAnsi="宋体" w:cs="宋体"/>
                <w:szCs w:val="21"/>
              </w:rPr>
              <w:t>13</w:t>
            </w:r>
          </w:p>
        </w:tc>
        <w:tc>
          <w:tcPr>
            <w:tcW w:w="2650" w:type="dxa"/>
            <w:noWrap/>
            <w:vAlign w:val="center"/>
          </w:tcPr>
          <w:p>
            <w:pPr>
              <w:jc w:val="center"/>
              <w:rPr>
                <w:rFonts w:ascii="宋体" w:hAnsi="宋体" w:cs="宋体"/>
                <w:szCs w:val="21"/>
              </w:rPr>
            </w:pPr>
            <w:r>
              <w:rPr>
                <w:rFonts w:hint="eastAsia" w:ascii="宋体" w:hAnsi="宋体" w:cs="宋体"/>
                <w:szCs w:val="21"/>
              </w:rPr>
              <w:t>折射率</w:t>
            </w:r>
          </w:p>
        </w:tc>
        <w:tc>
          <w:tcPr>
            <w:tcW w:w="2414" w:type="dxa"/>
            <w:vMerge w:val="continue"/>
            <w:noWrap/>
            <w:vAlign w:val="center"/>
          </w:tcPr>
          <w:p>
            <w:pPr>
              <w:jc w:val="center"/>
              <w:rPr>
                <w:rFonts w:ascii="宋体" w:hAnsi="宋体" w:cs="宋体"/>
                <w:szCs w:val="21"/>
              </w:rPr>
            </w:pPr>
          </w:p>
        </w:tc>
        <w:tc>
          <w:tcPr>
            <w:tcW w:w="2391" w:type="dxa"/>
            <w:vMerge w:val="continue"/>
            <w:vAlign w:val="center"/>
          </w:tcPr>
          <w:p>
            <w:pPr>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90" w:hRule="atLeast"/>
          <w:jc w:val="center"/>
        </w:trPr>
        <w:tc>
          <w:tcPr>
            <w:tcW w:w="645" w:type="dxa"/>
            <w:noWrap/>
            <w:vAlign w:val="center"/>
          </w:tcPr>
          <w:p>
            <w:pPr>
              <w:jc w:val="center"/>
              <w:rPr>
                <w:rFonts w:ascii="宋体" w:hAnsi="宋体" w:cs="宋体"/>
                <w:szCs w:val="21"/>
              </w:rPr>
            </w:pPr>
            <w:r>
              <w:rPr>
                <w:rFonts w:hint="eastAsia" w:ascii="宋体" w:hAnsi="宋体" w:cs="宋体"/>
                <w:szCs w:val="21"/>
              </w:rPr>
              <w:t>14</w:t>
            </w:r>
          </w:p>
        </w:tc>
        <w:tc>
          <w:tcPr>
            <w:tcW w:w="2650" w:type="dxa"/>
            <w:noWrap/>
            <w:vAlign w:val="center"/>
          </w:tcPr>
          <w:p>
            <w:pPr>
              <w:jc w:val="center"/>
              <w:rPr>
                <w:rFonts w:ascii="宋体" w:hAnsi="宋体" w:cs="宋体"/>
                <w:szCs w:val="21"/>
              </w:rPr>
            </w:pPr>
            <w:r>
              <w:rPr>
                <w:rFonts w:hint="eastAsia" w:ascii="宋体" w:hAnsi="宋体" w:cs="宋体"/>
                <w:szCs w:val="21"/>
              </w:rPr>
              <w:t>双折射率</w:t>
            </w:r>
          </w:p>
        </w:tc>
        <w:tc>
          <w:tcPr>
            <w:tcW w:w="2414" w:type="dxa"/>
            <w:vMerge w:val="continue"/>
            <w:noWrap/>
            <w:vAlign w:val="center"/>
          </w:tcPr>
          <w:p>
            <w:pPr>
              <w:jc w:val="center"/>
              <w:rPr>
                <w:rFonts w:ascii="宋体" w:hAnsi="宋体" w:cs="宋体"/>
                <w:szCs w:val="21"/>
              </w:rPr>
            </w:pPr>
          </w:p>
        </w:tc>
        <w:tc>
          <w:tcPr>
            <w:tcW w:w="2391" w:type="dxa"/>
            <w:vMerge w:val="continue"/>
            <w:vAlign w:val="center"/>
          </w:tcPr>
          <w:p>
            <w:pPr>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90" w:hRule="atLeast"/>
          <w:jc w:val="center"/>
        </w:trPr>
        <w:tc>
          <w:tcPr>
            <w:tcW w:w="645" w:type="dxa"/>
            <w:noWrap/>
            <w:vAlign w:val="center"/>
          </w:tcPr>
          <w:p>
            <w:pPr>
              <w:jc w:val="center"/>
              <w:rPr>
                <w:rFonts w:ascii="宋体" w:hAnsi="宋体" w:cs="宋体"/>
                <w:szCs w:val="21"/>
              </w:rPr>
            </w:pPr>
            <w:r>
              <w:rPr>
                <w:rFonts w:hint="eastAsia" w:ascii="宋体" w:hAnsi="宋体" w:cs="宋体"/>
                <w:szCs w:val="21"/>
              </w:rPr>
              <w:t>15</w:t>
            </w:r>
          </w:p>
        </w:tc>
        <w:tc>
          <w:tcPr>
            <w:tcW w:w="2650" w:type="dxa"/>
            <w:noWrap/>
            <w:vAlign w:val="center"/>
          </w:tcPr>
          <w:p>
            <w:pPr>
              <w:jc w:val="center"/>
              <w:rPr>
                <w:rFonts w:ascii="宋体" w:hAnsi="宋体" w:cs="宋体"/>
                <w:szCs w:val="21"/>
              </w:rPr>
            </w:pPr>
            <w:r>
              <w:rPr>
                <w:rFonts w:hint="eastAsia" w:ascii="宋体" w:hAnsi="宋体" w:cs="宋体"/>
                <w:szCs w:val="21"/>
              </w:rPr>
              <w:t>光性特征</w:t>
            </w:r>
          </w:p>
        </w:tc>
        <w:tc>
          <w:tcPr>
            <w:tcW w:w="2414" w:type="dxa"/>
            <w:vMerge w:val="continue"/>
            <w:noWrap/>
            <w:vAlign w:val="center"/>
          </w:tcPr>
          <w:p>
            <w:pPr>
              <w:jc w:val="center"/>
              <w:rPr>
                <w:rFonts w:ascii="宋体" w:hAnsi="宋体" w:cs="宋体"/>
                <w:szCs w:val="21"/>
              </w:rPr>
            </w:pPr>
          </w:p>
        </w:tc>
        <w:tc>
          <w:tcPr>
            <w:tcW w:w="2391" w:type="dxa"/>
            <w:vMerge w:val="continue"/>
            <w:vAlign w:val="center"/>
          </w:tcPr>
          <w:p>
            <w:pPr>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90" w:hRule="atLeast"/>
          <w:jc w:val="center"/>
        </w:trPr>
        <w:tc>
          <w:tcPr>
            <w:tcW w:w="645" w:type="dxa"/>
            <w:noWrap/>
            <w:vAlign w:val="center"/>
          </w:tcPr>
          <w:p>
            <w:pPr>
              <w:jc w:val="center"/>
              <w:rPr>
                <w:rFonts w:ascii="宋体" w:hAnsi="宋体" w:cs="宋体"/>
                <w:szCs w:val="21"/>
              </w:rPr>
            </w:pPr>
            <w:r>
              <w:rPr>
                <w:rFonts w:hint="eastAsia" w:ascii="宋体" w:hAnsi="宋体" w:cs="宋体"/>
                <w:szCs w:val="21"/>
              </w:rPr>
              <w:t>16</w:t>
            </w:r>
          </w:p>
        </w:tc>
        <w:tc>
          <w:tcPr>
            <w:tcW w:w="2650" w:type="dxa"/>
            <w:noWrap/>
            <w:vAlign w:val="center"/>
          </w:tcPr>
          <w:p>
            <w:pPr>
              <w:jc w:val="center"/>
              <w:rPr>
                <w:rFonts w:ascii="宋体" w:hAnsi="宋体" w:cs="宋体"/>
                <w:szCs w:val="21"/>
              </w:rPr>
            </w:pPr>
            <w:r>
              <w:rPr>
                <w:rFonts w:hint="eastAsia" w:ascii="宋体" w:hAnsi="宋体" w:cs="宋体"/>
                <w:szCs w:val="21"/>
              </w:rPr>
              <w:t>荧光观察</w:t>
            </w:r>
          </w:p>
        </w:tc>
        <w:tc>
          <w:tcPr>
            <w:tcW w:w="2414" w:type="dxa"/>
            <w:vMerge w:val="continue"/>
            <w:noWrap/>
            <w:vAlign w:val="center"/>
          </w:tcPr>
          <w:p>
            <w:pPr>
              <w:jc w:val="center"/>
              <w:rPr>
                <w:rFonts w:ascii="宋体" w:hAnsi="宋体" w:cs="宋体"/>
                <w:szCs w:val="21"/>
              </w:rPr>
            </w:pPr>
          </w:p>
        </w:tc>
        <w:tc>
          <w:tcPr>
            <w:tcW w:w="2391" w:type="dxa"/>
            <w:vMerge w:val="continue"/>
            <w:vAlign w:val="center"/>
          </w:tcPr>
          <w:p>
            <w:pPr>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90" w:hRule="atLeast"/>
          <w:jc w:val="center"/>
        </w:trPr>
        <w:tc>
          <w:tcPr>
            <w:tcW w:w="645" w:type="dxa"/>
            <w:noWrap/>
            <w:vAlign w:val="center"/>
          </w:tcPr>
          <w:p>
            <w:pPr>
              <w:jc w:val="center"/>
              <w:rPr>
                <w:rFonts w:ascii="宋体" w:hAnsi="宋体" w:cs="宋体"/>
                <w:szCs w:val="21"/>
              </w:rPr>
            </w:pPr>
            <w:r>
              <w:rPr>
                <w:rFonts w:hint="eastAsia" w:ascii="宋体" w:hAnsi="宋体" w:cs="宋体"/>
                <w:szCs w:val="21"/>
              </w:rPr>
              <w:t>17</w:t>
            </w:r>
          </w:p>
        </w:tc>
        <w:tc>
          <w:tcPr>
            <w:tcW w:w="2650" w:type="dxa"/>
            <w:noWrap/>
            <w:vAlign w:val="center"/>
          </w:tcPr>
          <w:p>
            <w:pPr>
              <w:jc w:val="center"/>
              <w:rPr>
                <w:rFonts w:ascii="宋体" w:hAnsi="宋体" w:cs="宋体"/>
                <w:szCs w:val="21"/>
              </w:rPr>
            </w:pPr>
            <w:r>
              <w:rPr>
                <w:rFonts w:hint="eastAsia" w:ascii="宋体" w:hAnsi="宋体" w:cs="宋体"/>
                <w:szCs w:val="21"/>
              </w:rPr>
              <w:t>红外光谱分析</w:t>
            </w:r>
          </w:p>
        </w:tc>
        <w:tc>
          <w:tcPr>
            <w:tcW w:w="2414" w:type="dxa"/>
            <w:vMerge w:val="continue"/>
            <w:noWrap/>
            <w:vAlign w:val="center"/>
          </w:tcPr>
          <w:p>
            <w:pPr>
              <w:jc w:val="center"/>
              <w:rPr>
                <w:rFonts w:ascii="宋体" w:hAnsi="宋体" w:cs="宋体"/>
                <w:szCs w:val="21"/>
              </w:rPr>
            </w:pPr>
          </w:p>
        </w:tc>
        <w:tc>
          <w:tcPr>
            <w:tcW w:w="2391" w:type="dxa"/>
            <w:vMerge w:val="continue"/>
            <w:vAlign w:val="center"/>
          </w:tcPr>
          <w:p>
            <w:pPr>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90" w:hRule="atLeast"/>
          <w:jc w:val="center"/>
        </w:trPr>
        <w:tc>
          <w:tcPr>
            <w:tcW w:w="645" w:type="dxa"/>
            <w:noWrap/>
            <w:vAlign w:val="center"/>
          </w:tcPr>
          <w:p>
            <w:pPr>
              <w:jc w:val="center"/>
              <w:rPr>
                <w:rFonts w:ascii="宋体" w:hAnsi="宋体" w:cs="宋体"/>
                <w:szCs w:val="21"/>
              </w:rPr>
            </w:pPr>
            <w:r>
              <w:rPr>
                <w:rFonts w:hint="eastAsia" w:ascii="宋体" w:hAnsi="宋体" w:cs="宋体"/>
                <w:szCs w:val="21"/>
              </w:rPr>
              <w:t>18</w:t>
            </w:r>
          </w:p>
        </w:tc>
        <w:tc>
          <w:tcPr>
            <w:tcW w:w="2650" w:type="dxa"/>
            <w:noWrap/>
            <w:vAlign w:val="center"/>
          </w:tcPr>
          <w:p>
            <w:pPr>
              <w:jc w:val="center"/>
              <w:rPr>
                <w:rFonts w:ascii="宋体" w:hAnsi="宋体" w:cs="宋体"/>
                <w:szCs w:val="21"/>
              </w:rPr>
            </w:pPr>
            <w:r>
              <w:rPr>
                <w:rFonts w:hint="eastAsia" w:ascii="宋体" w:hAnsi="宋体" w:cs="宋体"/>
                <w:szCs w:val="21"/>
              </w:rPr>
              <w:t>紫外可见光谱分析</w:t>
            </w:r>
          </w:p>
        </w:tc>
        <w:tc>
          <w:tcPr>
            <w:tcW w:w="2414" w:type="dxa"/>
            <w:vMerge w:val="continue"/>
            <w:noWrap/>
            <w:vAlign w:val="center"/>
          </w:tcPr>
          <w:p>
            <w:pPr>
              <w:jc w:val="center"/>
              <w:rPr>
                <w:rFonts w:ascii="宋体" w:hAnsi="宋体" w:cs="宋体"/>
                <w:szCs w:val="21"/>
              </w:rPr>
            </w:pPr>
          </w:p>
        </w:tc>
        <w:tc>
          <w:tcPr>
            <w:tcW w:w="2391" w:type="dxa"/>
            <w:vMerge w:val="continue"/>
            <w:vAlign w:val="center"/>
          </w:tcPr>
          <w:p>
            <w:pPr>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4" w:hRule="atLeast"/>
          <w:jc w:val="center"/>
        </w:trPr>
        <w:tc>
          <w:tcPr>
            <w:tcW w:w="8100" w:type="dxa"/>
            <w:gridSpan w:val="4"/>
            <w:noWrap/>
            <w:vAlign w:val="center"/>
          </w:tcPr>
          <w:p>
            <w:pPr>
              <w:jc w:val="left"/>
              <w:rPr>
                <w:rFonts w:ascii="宋体" w:hAnsi="宋体" w:cs="宋体"/>
                <w:szCs w:val="21"/>
              </w:rPr>
            </w:pPr>
            <w:r>
              <w:rPr>
                <w:rFonts w:hint="eastAsia" w:ascii="宋体" w:hAnsi="宋体" w:cs="宋体"/>
                <w:szCs w:val="21"/>
              </w:rPr>
              <w:t>注：不同样品具体检验项目不同</w:t>
            </w:r>
          </w:p>
        </w:tc>
      </w:tr>
    </w:tbl>
    <w:p>
      <w:pPr>
        <w:snapToGrid w:val="0"/>
        <w:spacing w:line="440" w:lineRule="exact"/>
        <w:rPr>
          <w:rFonts w:eastAsia="黑体"/>
          <w:szCs w:val="21"/>
        </w:rPr>
      </w:pPr>
    </w:p>
    <w:p>
      <w:pPr>
        <w:spacing w:line="440" w:lineRule="exact"/>
        <w:rPr>
          <w:rFonts w:eastAsia="黑体"/>
          <w:szCs w:val="21"/>
        </w:rPr>
      </w:pPr>
      <w:r>
        <w:rPr>
          <w:rFonts w:eastAsia="黑体"/>
          <w:szCs w:val="21"/>
        </w:rPr>
        <w:t>3 判定规则</w:t>
      </w:r>
    </w:p>
    <w:p>
      <w:pPr>
        <w:snapToGrid w:val="0"/>
        <w:spacing w:line="440" w:lineRule="exact"/>
        <w:rPr>
          <w:szCs w:val="21"/>
        </w:rPr>
      </w:pPr>
      <w:r>
        <w:rPr>
          <w:szCs w:val="21"/>
        </w:rPr>
        <w:t>3.1依据标准</w:t>
      </w:r>
    </w:p>
    <w:p>
      <w:pPr>
        <w:adjustRightInd w:val="0"/>
        <w:snapToGrid w:val="0"/>
        <w:spacing w:line="440" w:lineRule="exact"/>
        <w:ind w:firstLine="420"/>
        <w:rPr>
          <w:szCs w:val="21"/>
        </w:rPr>
      </w:pPr>
      <w:r>
        <w:rPr>
          <w:rFonts w:hint="eastAsia"/>
          <w:szCs w:val="21"/>
        </w:rPr>
        <w:t>GB/T 16552-2017 《珠宝玉石 名称》</w:t>
      </w:r>
    </w:p>
    <w:p>
      <w:pPr>
        <w:adjustRightInd w:val="0"/>
        <w:snapToGrid w:val="0"/>
        <w:spacing w:line="440" w:lineRule="exact"/>
        <w:ind w:firstLine="420"/>
        <w:rPr>
          <w:szCs w:val="21"/>
        </w:rPr>
      </w:pPr>
      <w:r>
        <w:rPr>
          <w:rFonts w:hint="eastAsia"/>
          <w:szCs w:val="21"/>
        </w:rPr>
        <w:t>GB/T 16553-2017 《珠宝玉石 鉴定》</w:t>
      </w:r>
    </w:p>
    <w:p>
      <w:pPr>
        <w:adjustRightInd w:val="0"/>
        <w:snapToGrid w:val="0"/>
        <w:spacing w:line="440" w:lineRule="exact"/>
        <w:ind w:firstLine="420"/>
        <w:rPr>
          <w:szCs w:val="21"/>
        </w:rPr>
      </w:pPr>
      <w:r>
        <w:rPr>
          <w:rFonts w:hint="eastAsia"/>
          <w:szCs w:val="21"/>
        </w:rPr>
        <w:t>GB/T 16554-2017 《钻石分级》</w:t>
      </w:r>
    </w:p>
    <w:p>
      <w:pPr>
        <w:adjustRightInd w:val="0"/>
        <w:snapToGrid w:val="0"/>
        <w:spacing w:line="440" w:lineRule="exact"/>
        <w:ind w:firstLine="420"/>
        <w:rPr>
          <w:szCs w:val="21"/>
        </w:rPr>
      </w:pPr>
      <w:r>
        <w:rPr>
          <w:rFonts w:hint="eastAsia"/>
          <w:szCs w:val="21"/>
        </w:rPr>
        <w:t>GB 11887 -2012 《首饰 贵金属纯度的规定及命名方法》及第1号修改单</w:t>
      </w:r>
    </w:p>
    <w:p>
      <w:pPr>
        <w:adjustRightInd w:val="0"/>
        <w:snapToGrid w:val="0"/>
        <w:spacing w:line="440" w:lineRule="exact"/>
        <w:ind w:firstLine="420"/>
        <w:rPr>
          <w:szCs w:val="21"/>
        </w:rPr>
      </w:pPr>
      <w:r>
        <w:rPr>
          <w:rFonts w:hint="eastAsia"/>
          <w:szCs w:val="21"/>
        </w:rPr>
        <w:t>GB/T 18043-2013 《首饰 贵金属含量的测定 X射线荧光光谱法》</w:t>
      </w:r>
    </w:p>
    <w:p>
      <w:pPr>
        <w:adjustRightInd w:val="0"/>
        <w:snapToGrid w:val="0"/>
        <w:spacing w:line="440" w:lineRule="exact"/>
        <w:ind w:firstLine="420"/>
        <w:rPr>
          <w:szCs w:val="21"/>
        </w:rPr>
      </w:pPr>
      <w:r>
        <w:rPr>
          <w:rFonts w:hint="eastAsia"/>
          <w:szCs w:val="21"/>
        </w:rPr>
        <w:t>GB/T 31912-2015 《饰品 标识》</w:t>
      </w:r>
    </w:p>
    <w:p>
      <w:pPr>
        <w:adjustRightInd w:val="0"/>
        <w:snapToGrid w:val="0"/>
        <w:spacing w:line="440" w:lineRule="exact"/>
        <w:ind w:firstLine="420"/>
        <w:rPr>
          <w:szCs w:val="21"/>
        </w:rPr>
      </w:pPr>
      <w:r>
        <w:rPr>
          <w:rFonts w:hint="eastAsia"/>
          <w:szCs w:val="21"/>
        </w:rPr>
        <w:t>QB/T 1690-2021 《贵金属饰品质量测量允差的规定》</w:t>
      </w:r>
      <w:r>
        <w:rPr>
          <w:rFonts w:hint="eastAsia"/>
        </w:rPr>
        <w:t>。</w:t>
      </w:r>
    </w:p>
    <w:p>
      <w:pPr>
        <w:snapToGrid w:val="0"/>
        <w:spacing w:line="440" w:lineRule="exact"/>
        <w:ind w:firstLine="359" w:firstLineChars="171"/>
        <w:rPr>
          <w:szCs w:val="21"/>
        </w:rPr>
      </w:pPr>
      <w:r>
        <w:rPr>
          <w:szCs w:val="21"/>
        </w:rPr>
        <w:t>现行有效的企业标准、团体标准、地方标准及产品明示质量要求</w:t>
      </w:r>
    </w:p>
    <w:p>
      <w:pPr>
        <w:snapToGrid w:val="0"/>
        <w:spacing w:line="440" w:lineRule="exact"/>
        <w:rPr>
          <w:szCs w:val="21"/>
        </w:rPr>
      </w:pPr>
      <w:r>
        <w:rPr>
          <w:szCs w:val="21"/>
        </w:rPr>
        <w:t>3.2判定原则</w:t>
      </w:r>
    </w:p>
    <w:p>
      <w:pPr>
        <w:snapToGrid w:val="0"/>
        <w:spacing w:line="440" w:lineRule="exact"/>
        <w:ind w:firstLine="420" w:firstLineChars="200"/>
        <w:rPr>
          <w:szCs w:val="21"/>
        </w:rPr>
      </w:pPr>
      <w:r>
        <w:rPr>
          <w:szCs w:val="21"/>
        </w:rPr>
        <w:t>经检验，检验项目全部合格，判定为被抽查产品所检项目未发现不合格；检验项目中任一项或一项以上不合格，判定为被抽查产品不合格。</w:t>
      </w:r>
    </w:p>
    <w:p>
      <w:pPr>
        <w:snapToGrid w:val="0"/>
        <w:spacing w:line="440" w:lineRule="exact"/>
        <w:ind w:firstLine="417" w:firstLineChars="199"/>
        <w:rPr>
          <w:szCs w:val="21"/>
        </w:rPr>
      </w:pPr>
      <w:r>
        <w:rPr>
          <w:szCs w:val="21"/>
        </w:rPr>
        <w:t>若被检产品明示的质量要求高于本细则中检验项目依据的标准要求时，应按被检产品明示的质量要求判定。</w:t>
      </w:r>
    </w:p>
    <w:p>
      <w:pPr>
        <w:snapToGrid w:val="0"/>
        <w:spacing w:line="440" w:lineRule="exact"/>
        <w:ind w:firstLine="417" w:firstLineChars="199"/>
        <w:rPr>
          <w:szCs w:val="21"/>
        </w:rPr>
      </w:pPr>
      <w:r>
        <w:rPr>
          <w:szCs w:val="21"/>
        </w:rPr>
        <w:t>若被检产品明示的质量要求低于本细则中检验项目依据的强制性标准要求时，应按照强制性标准要求判定。</w:t>
      </w:r>
    </w:p>
    <w:p>
      <w:pPr>
        <w:snapToGrid w:val="0"/>
        <w:spacing w:line="440" w:lineRule="exact"/>
        <w:ind w:firstLine="417" w:firstLineChars="199"/>
        <w:rPr>
          <w:szCs w:val="21"/>
        </w:rPr>
      </w:pPr>
      <w:r>
        <w:rPr>
          <w:szCs w:val="21"/>
        </w:rPr>
        <w:t>若被检产品明示的质量要求低于或包含本细则中检验项目依据的推荐性标准要求时，应以被检产品明示的质量要求判定。</w:t>
      </w:r>
    </w:p>
    <w:p>
      <w:pPr>
        <w:snapToGrid w:val="0"/>
        <w:spacing w:line="440" w:lineRule="exact"/>
        <w:ind w:firstLine="417" w:firstLineChars="199"/>
        <w:rPr>
          <w:szCs w:val="21"/>
        </w:rPr>
      </w:pPr>
      <w:r>
        <w:rPr>
          <w:szCs w:val="21"/>
        </w:rPr>
        <w:t>若被检产品明示的质量要求缺少本细则中检验项目依据的强制性标准要求时，应按照强制性标准要求判定。</w:t>
      </w:r>
    </w:p>
    <w:p>
      <w:pPr>
        <w:snapToGrid w:val="0"/>
        <w:spacing w:line="440" w:lineRule="exact"/>
        <w:ind w:firstLine="417" w:firstLineChars="199"/>
        <w:rPr>
          <w:rFonts w:hint="eastAsia"/>
          <w:szCs w:val="21"/>
        </w:rPr>
      </w:pPr>
      <w:r>
        <w:rPr>
          <w:szCs w:val="21"/>
        </w:rPr>
        <w:t>若被检产品明示的质量要求缺少本细则中检验项目依据的推荐性标准要求时，该项目不参与判定。</w:t>
      </w:r>
    </w:p>
    <w:p>
      <w:pPr>
        <w:snapToGrid w:val="0"/>
        <w:spacing w:line="440" w:lineRule="exact"/>
        <w:ind w:firstLine="417" w:firstLineChars="199"/>
        <w:rPr>
          <w:szCs w:val="21"/>
        </w:rPr>
      </w:pPr>
    </w:p>
    <w:sectPr>
      <w:headerReference r:id="rId3" w:type="default"/>
      <w:footerReference r:id="rId4" w:type="default"/>
      <w:footerReference r:id="rId5" w:type="even"/>
      <w:pgSz w:w="11906" w:h="16838"/>
      <w:pgMar w:top="1985" w:right="1474" w:bottom="1644" w:left="1474" w:header="851" w:footer="1191"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方正小标宋简体">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pPr>
    <w:r>
      <w:rPr>
        <w:lang w:val="zh-CN"/>
      </w:rPr>
      <w:fldChar w:fldCharType="begin"/>
    </w:r>
    <w:r>
      <w:rPr>
        <w:lang w:val="zh-CN"/>
      </w:rPr>
      <w:instrText xml:space="preserve"> PAGE   \* MERGEFORMAT </w:instrText>
    </w:r>
    <w:r>
      <w:rPr>
        <w:lang w:val="zh-CN"/>
      </w:rPr>
      <w:fldChar w:fldCharType="separate"/>
    </w:r>
    <w:r>
      <w:rPr>
        <w:lang w:val="en-US"/>
      </w:rPr>
      <w:t>1</w:t>
    </w:r>
    <w:r>
      <w:rPr>
        <w:lang w:val="zh-CN"/>
      </w:rPr>
      <w:fldChar w:fldCharType="end"/>
    </w:r>
  </w:p>
  <w:p>
    <w:pPr>
      <w:pStyle w:val="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center" w:y="1"/>
      <w:rPr>
        <w:rStyle w:val="10"/>
      </w:rPr>
    </w:pPr>
    <w:r>
      <w:fldChar w:fldCharType="begin"/>
    </w:r>
    <w:r>
      <w:rPr>
        <w:rStyle w:val="10"/>
      </w:rPr>
      <w:instrText xml:space="preserve">PAGE  </w:instrText>
    </w:r>
    <w:r>
      <w:fldChar w:fldCharType="separate"/>
    </w:r>
    <w:r>
      <w:rPr>
        <w:rStyle w:val="10"/>
      </w:rPr>
      <w:t>2</w:t>
    </w:r>
    <w:r>
      <w:fldChar w:fldCharType="end"/>
    </w:r>
  </w:p>
  <w:p>
    <w:pPr>
      <w:pStyle w:val="5"/>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NotTrackMoves/>
  <w:documentProtection w:enforcement="0"/>
  <w:defaultTabStop w:val="420"/>
  <w:drawingGridHorizontalSpacing w:val="105"/>
  <w:drawingGridVerticalSpacing w:val="156"/>
  <w:noPunctuationKerning w:val="true"/>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NmE4ZjFmMmU0OTkxMWIyMzYyNjFmNDc2MmE0MTI0M2UifQ=="/>
    <w:docVar w:name="KSO_WPS_MARK_KEY" w:val="74a165c2-b034-4e2b-9e56-c9e787bb82c2"/>
  </w:docVars>
  <w:rsids>
    <w:rsidRoot w:val="00172A27"/>
    <w:rsid w:val="0000320A"/>
    <w:rsid w:val="00011F79"/>
    <w:rsid w:val="000136A9"/>
    <w:rsid w:val="000228F8"/>
    <w:rsid w:val="00023448"/>
    <w:rsid w:val="00034715"/>
    <w:rsid w:val="00044A73"/>
    <w:rsid w:val="00050B91"/>
    <w:rsid w:val="00051A18"/>
    <w:rsid w:val="00051A44"/>
    <w:rsid w:val="000627F5"/>
    <w:rsid w:val="00074418"/>
    <w:rsid w:val="00081CBD"/>
    <w:rsid w:val="000976DE"/>
    <w:rsid w:val="000A02DE"/>
    <w:rsid w:val="000F5762"/>
    <w:rsid w:val="00123D1C"/>
    <w:rsid w:val="00137EED"/>
    <w:rsid w:val="0014759B"/>
    <w:rsid w:val="00150FEF"/>
    <w:rsid w:val="00161177"/>
    <w:rsid w:val="001719A9"/>
    <w:rsid w:val="00172A27"/>
    <w:rsid w:val="001809DD"/>
    <w:rsid w:val="00181CE1"/>
    <w:rsid w:val="001B296C"/>
    <w:rsid w:val="001B647C"/>
    <w:rsid w:val="001C7E5A"/>
    <w:rsid w:val="001D1E59"/>
    <w:rsid w:val="001E0B38"/>
    <w:rsid w:val="001E3130"/>
    <w:rsid w:val="001F28EE"/>
    <w:rsid w:val="002018FC"/>
    <w:rsid w:val="00224B79"/>
    <w:rsid w:val="00225A91"/>
    <w:rsid w:val="00226538"/>
    <w:rsid w:val="00232530"/>
    <w:rsid w:val="00237E08"/>
    <w:rsid w:val="00240EA3"/>
    <w:rsid w:val="00253624"/>
    <w:rsid w:val="00281F2D"/>
    <w:rsid w:val="00287571"/>
    <w:rsid w:val="00294B6E"/>
    <w:rsid w:val="002B6E8C"/>
    <w:rsid w:val="002D0B0D"/>
    <w:rsid w:val="002D684D"/>
    <w:rsid w:val="002D7F8A"/>
    <w:rsid w:val="002E0D1D"/>
    <w:rsid w:val="002F438D"/>
    <w:rsid w:val="003037B2"/>
    <w:rsid w:val="00306464"/>
    <w:rsid w:val="00310345"/>
    <w:rsid w:val="003203A3"/>
    <w:rsid w:val="0032759E"/>
    <w:rsid w:val="00360B53"/>
    <w:rsid w:val="00365CBE"/>
    <w:rsid w:val="0036696A"/>
    <w:rsid w:val="00374312"/>
    <w:rsid w:val="00383B95"/>
    <w:rsid w:val="003A7D30"/>
    <w:rsid w:val="003C0DED"/>
    <w:rsid w:val="003C388C"/>
    <w:rsid w:val="003D09A1"/>
    <w:rsid w:val="003D0DBC"/>
    <w:rsid w:val="003D61E8"/>
    <w:rsid w:val="003E61BF"/>
    <w:rsid w:val="003E64A2"/>
    <w:rsid w:val="00403C9B"/>
    <w:rsid w:val="004104AC"/>
    <w:rsid w:val="004308C5"/>
    <w:rsid w:val="00445E86"/>
    <w:rsid w:val="0045434D"/>
    <w:rsid w:val="00464CD6"/>
    <w:rsid w:val="00474E04"/>
    <w:rsid w:val="00486352"/>
    <w:rsid w:val="004D0C5A"/>
    <w:rsid w:val="004D184C"/>
    <w:rsid w:val="004D471F"/>
    <w:rsid w:val="004D64F0"/>
    <w:rsid w:val="004E1396"/>
    <w:rsid w:val="004E6C21"/>
    <w:rsid w:val="004F59E9"/>
    <w:rsid w:val="00507E50"/>
    <w:rsid w:val="0051128B"/>
    <w:rsid w:val="00537351"/>
    <w:rsid w:val="00563EBC"/>
    <w:rsid w:val="00571ECD"/>
    <w:rsid w:val="005C243A"/>
    <w:rsid w:val="005D0D66"/>
    <w:rsid w:val="005E76FB"/>
    <w:rsid w:val="005F0612"/>
    <w:rsid w:val="00625923"/>
    <w:rsid w:val="006437A9"/>
    <w:rsid w:val="00657A1C"/>
    <w:rsid w:val="00677BDB"/>
    <w:rsid w:val="00695782"/>
    <w:rsid w:val="006A1409"/>
    <w:rsid w:val="006A5FC0"/>
    <w:rsid w:val="006D30FB"/>
    <w:rsid w:val="006E1171"/>
    <w:rsid w:val="006E5211"/>
    <w:rsid w:val="006F0971"/>
    <w:rsid w:val="0071126A"/>
    <w:rsid w:val="00711C5C"/>
    <w:rsid w:val="0072334C"/>
    <w:rsid w:val="0073050E"/>
    <w:rsid w:val="00750E16"/>
    <w:rsid w:val="00783294"/>
    <w:rsid w:val="007D276B"/>
    <w:rsid w:val="007D7684"/>
    <w:rsid w:val="007F115F"/>
    <w:rsid w:val="008631FF"/>
    <w:rsid w:val="00864228"/>
    <w:rsid w:val="00864280"/>
    <w:rsid w:val="00865798"/>
    <w:rsid w:val="008709DE"/>
    <w:rsid w:val="00895BEA"/>
    <w:rsid w:val="008A3497"/>
    <w:rsid w:val="008B3163"/>
    <w:rsid w:val="008B46D4"/>
    <w:rsid w:val="008B50D8"/>
    <w:rsid w:val="008C21FE"/>
    <w:rsid w:val="008D6E40"/>
    <w:rsid w:val="00912B75"/>
    <w:rsid w:val="00917A54"/>
    <w:rsid w:val="00920000"/>
    <w:rsid w:val="00973135"/>
    <w:rsid w:val="00984334"/>
    <w:rsid w:val="009B5D10"/>
    <w:rsid w:val="009B6ED3"/>
    <w:rsid w:val="009D0BEF"/>
    <w:rsid w:val="009D502D"/>
    <w:rsid w:val="009D5036"/>
    <w:rsid w:val="009D51E5"/>
    <w:rsid w:val="009E21D2"/>
    <w:rsid w:val="00A23D98"/>
    <w:rsid w:val="00A27C97"/>
    <w:rsid w:val="00A43553"/>
    <w:rsid w:val="00A45297"/>
    <w:rsid w:val="00A544F8"/>
    <w:rsid w:val="00A64CAE"/>
    <w:rsid w:val="00A84457"/>
    <w:rsid w:val="00AA2CD8"/>
    <w:rsid w:val="00AB100A"/>
    <w:rsid w:val="00AB2AF7"/>
    <w:rsid w:val="00AB5368"/>
    <w:rsid w:val="00AC180C"/>
    <w:rsid w:val="00AC5391"/>
    <w:rsid w:val="00AD36BF"/>
    <w:rsid w:val="00B34874"/>
    <w:rsid w:val="00B407F6"/>
    <w:rsid w:val="00B40C6F"/>
    <w:rsid w:val="00B523BA"/>
    <w:rsid w:val="00B65F23"/>
    <w:rsid w:val="00B85491"/>
    <w:rsid w:val="00BB69FD"/>
    <w:rsid w:val="00BD5857"/>
    <w:rsid w:val="00BD7F41"/>
    <w:rsid w:val="00BE6043"/>
    <w:rsid w:val="00BF0D50"/>
    <w:rsid w:val="00BF2B8C"/>
    <w:rsid w:val="00BF3927"/>
    <w:rsid w:val="00C26074"/>
    <w:rsid w:val="00C3797B"/>
    <w:rsid w:val="00C61F66"/>
    <w:rsid w:val="00C773B7"/>
    <w:rsid w:val="00C833DC"/>
    <w:rsid w:val="00C83B0A"/>
    <w:rsid w:val="00C91BB1"/>
    <w:rsid w:val="00C95EAF"/>
    <w:rsid w:val="00CA5DE6"/>
    <w:rsid w:val="00CB3B1F"/>
    <w:rsid w:val="00CC2F94"/>
    <w:rsid w:val="00CD4668"/>
    <w:rsid w:val="00CE1E0C"/>
    <w:rsid w:val="00CE277E"/>
    <w:rsid w:val="00CE7427"/>
    <w:rsid w:val="00CE7D8B"/>
    <w:rsid w:val="00D1512F"/>
    <w:rsid w:val="00D227B9"/>
    <w:rsid w:val="00D22E26"/>
    <w:rsid w:val="00D540A2"/>
    <w:rsid w:val="00D56867"/>
    <w:rsid w:val="00D67869"/>
    <w:rsid w:val="00D9070F"/>
    <w:rsid w:val="00DA531E"/>
    <w:rsid w:val="00DC5554"/>
    <w:rsid w:val="00DD36CF"/>
    <w:rsid w:val="00DD4116"/>
    <w:rsid w:val="00DD4AF5"/>
    <w:rsid w:val="00DE2241"/>
    <w:rsid w:val="00DF1B2C"/>
    <w:rsid w:val="00E02A7F"/>
    <w:rsid w:val="00E0459E"/>
    <w:rsid w:val="00E07880"/>
    <w:rsid w:val="00E23EF3"/>
    <w:rsid w:val="00E43B7E"/>
    <w:rsid w:val="00E5466C"/>
    <w:rsid w:val="00E82621"/>
    <w:rsid w:val="00E87104"/>
    <w:rsid w:val="00EA3184"/>
    <w:rsid w:val="00EA79BB"/>
    <w:rsid w:val="00EB5ACD"/>
    <w:rsid w:val="00ED1D5B"/>
    <w:rsid w:val="00ED4F05"/>
    <w:rsid w:val="00ED74C4"/>
    <w:rsid w:val="00EE7302"/>
    <w:rsid w:val="00EF5EFC"/>
    <w:rsid w:val="00F107E3"/>
    <w:rsid w:val="00F15188"/>
    <w:rsid w:val="00F202FE"/>
    <w:rsid w:val="00F32488"/>
    <w:rsid w:val="00F37598"/>
    <w:rsid w:val="00F409AB"/>
    <w:rsid w:val="00F513A7"/>
    <w:rsid w:val="00F74880"/>
    <w:rsid w:val="00F76109"/>
    <w:rsid w:val="00F77C9A"/>
    <w:rsid w:val="00F825E9"/>
    <w:rsid w:val="00FA19D8"/>
    <w:rsid w:val="00FB576C"/>
    <w:rsid w:val="00FC50C6"/>
    <w:rsid w:val="00FD10FF"/>
    <w:rsid w:val="00FD2AA6"/>
    <w:rsid w:val="00FD71A6"/>
    <w:rsid w:val="00FE528E"/>
    <w:rsid w:val="00FE727E"/>
    <w:rsid w:val="00FE7E8A"/>
    <w:rsid w:val="011A351F"/>
    <w:rsid w:val="119803EF"/>
    <w:rsid w:val="13C82B7E"/>
    <w:rsid w:val="13D75270"/>
    <w:rsid w:val="14AA6A57"/>
    <w:rsid w:val="1566626C"/>
    <w:rsid w:val="159C616C"/>
    <w:rsid w:val="19952E68"/>
    <w:rsid w:val="1B193C4F"/>
    <w:rsid w:val="20CA5D3A"/>
    <w:rsid w:val="233E1177"/>
    <w:rsid w:val="285C4AB3"/>
    <w:rsid w:val="2BFD4F0E"/>
    <w:rsid w:val="38974625"/>
    <w:rsid w:val="3D44595D"/>
    <w:rsid w:val="49557320"/>
    <w:rsid w:val="4ECC0863"/>
    <w:rsid w:val="4FC76963"/>
    <w:rsid w:val="518C0657"/>
    <w:rsid w:val="54DA2166"/>
    <w:rsid w:val="5DD829D4"/>
    <w:rsid w:val="5FC51935"/>
    <w:rsid w:val="6E494057"/>
    <w:rsid w:val="73A0588E"/>
    <w:rsid w:val="79E32C01"/>
    <w:rsid w:val="7A1D0398"/>
    <w:rsid w:val="FFEFB64C"/>
  </w:rsids>
  <m:mathPr>
    <m:mathFont m:val="Cambria Math"/>
    <m:brkBin m:val="before"/>
    <m:brkBinSub m:val="--"/>
    <m:smallFrac m:val="1"/>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5"/>
    <w:basedOn w:val="1"/>
    <w:next w:val="1"/>
    <w:semiHidden/>
    <w:unhideWhenUsed/>
    <w:qFormat/>
    <w:uiPriority w:val="9"/>
    <w:pPr>
      <w:spacing w:beforeAutospacing="1" w:afterAutospacing="1"/>
      <w:jc w:val="left"/>
      <w:outlineLvl w:val="4"/>
    </w:pPr>
    <w:rPr>
      <w:rFonts w:hint="eastAsia" w:ascii="宋体" w:hAnsi="宋体"/>
      <w:b/>
      <w:bCs/>
      <w:kern w:val="0"/>
      <w:sz w:val="20"/>
      <w:szCs w:val="20"/>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12"/>
    <w:unhideWhenUsed/>
    <w:qFormat/>
    <w:uiPriority w:val="99"/>
    <w:pPr>
      <w:jc w:val="left"/>
    </w:pPr>
  </w:style>
  <w:style w:type="paragraph" w:styleId="4">
    <w:name w:val="Balloon Text"/>
    <w:basedOn w:val="1"/>
    <w:link w:val="13"/>
    <w:unhideWhenUsed/>
    <w:qFormat/>
    <w:uiPriority w:val="99"/>
    <w:rPr>
      <w:sz w:val="18"/>
      <w:szCs w:val="18"/>
    </w:rPr>
  </w:style>
  <w:style w:type="paragraph" w:styleId="5">
    <w:name w:val="footer"/>
    <w:basedOn w:val="1"/>
    <w:link w:val="14"/>
    <w:unhideWhenUsed/>
    <w:qFormat/>
    <w:uiPriority w:val="99"/>
    <w:pPr>
      <w:tabs>
        <w:tab w:val="center" w:pos="4153"/>
        <w:tab w:val="right" w:pos="8306"/>
      </w:tabs>
      <w:snapToGrid w:val="0"/>
      <w:jc w:val="left"/>
    </w:pPr>
    <w:rPr>
      <w:sz w:val="18"/>
      <w:szCs w:val="18"/>
    </w:rPr>
  </w:style>
  <w:style w:type="paragraph" w:styleId="6">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annotation subject"/>
    <w:basedOn w:val="3"/>
    <w:next w:val="3"/>
    <w:link w:val="16"/>
    <w:unhideWhenUsed/>
    <w:qFormat/>
    <w:uiPriority w:val="99"/>
    <w:rPr>
      <w:b/>
      <w:bCs/>
    </w:rPr>
  </w:style>
  <w:style w:type="character" w:styleId="10">
    <w:name w:val="page number"/>
    <w:qFormat/>
    <w:uiPriority w:val="0"/>
  </w:style>
  <w:style w:type="character" w:styleId="11">
    <w:name w:val="annotation reference"/>
    <w:unhideWhenUsed/>
    <w:qFormat/>
    <w:uiPriority w:val="99"/>
    <w:rPr>
      <w:sz w:val="21"/>
      <w:szCs w:val="21"/>
    </w:rPr>
  </w:style>
  <w:style w:type="character" w:customStyle="1" w:styleId="12">
    <w:name w:val="批注文字 Char"/>
    <w:link w:val="3"/>
    <w:semiHidden/>
    <w:qFormat/>
    <w:uiPriority w:val="99"/>
    <w:rPr>
      <w:kern w:val="2"/>
      <w:sz w:val="21"/>
      <w:szCs w:val="24"/>
    </w:rPr>
  </w:style>
  <w:style w:type="character" w:customStyle="1" w:styleId="13">
    <w:name w:val="批注框文本 Char"/>
    <w:link w:val="4"/>
    <w:semiHidden/>
    <w:qFormat/>
    <w:uiPriority w:val="99"/>
    <w:rPr>
      <w:kern w:val="2"/>
      <w:sz w:val="18"/>
      <w:szCs w:val="18"/>
    </w:rPr>
  </w:style>
  <w:style w:type="character" w:customStyle="1" w:styleId="14">
    <w:name w:val="页脚 Char"/>
    <w:link w:val="5"/>
    <w:qFormat/>
    <w:uiPriority w:val="99"/>
    <w:rPr>
      <w:kern w:val="2"/>
      <w:sz w:val="18"/>
      <w:szCs w:val="18"/>
    </w:rPr>
  </w:style>
  <w:style w:type="character" w:customStyle="1" w:styleId="15">
    <w:name w:val="页眉 Char"/>
    <w:link w:val="6"/>
    <w:semiHidden/>
    <w:qFormat/>
    <w:uiPriority w:val="99"/>
    <w:rPr>
      <w:kern w:val="2"/>
      <w:sz w:val="18"/>
      <w:szCs w:val="18"/>
    </w:rPr>
  </w:style>
  <w:style w:type="character" w:customStyle="1" w:styleId="16">
    <w:name w:val="批注主题 Char"/>
    <w:link w:val="7"/>
    <w:semiHidden/>
    <w:qFormat/>
    <w:uiPriority w:val="99"/>
    <w:rPr>
      <w:b/>
      <w:bCs/>
      <w:kern w:val="2"/>
      <w:sz w:val="21"/>
      <w:szCs w:val="24"/>
    </w:rPr>
  </w:style>
  <w:style w:type="paragraph" w:customStyle="1" w:styleId="17">
    <w:name w:val="列出段落1"/>
    <w:basedOn w:val="1"/>
    <w:qFormat/>
    <w:uiPriority w:val="34"/>
    <w:pPr>
      <w:ind w:firstLine="420" w:firstLineChars="200"/>
    </w:pPr>
    <w:rPr>
      <w:rFonts w:ascii="Calibri" w:hAnsi="Calibri"/>
      <w:szCs w:val="22"/>
    </w:rPr>
  </w:style>
  <w:style w:type="paragraph" w:customStyle="1" w:styleId="18">
    <w:name w:val="_Style 16"/>
    <w:unhideWhenUsed/>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Legend (Beijing) Limited</Company>
  <Pages>2</Pages>
  <Words>197</Words>
  <Characters>1125</Characters>
  <Lines>9</Lines>
  <Paragraphs>2</Paragraphs>
  <TotalTime>6</TotalTime>
  <ScaleCrop>false</ScaleCrop>
  <LinksUpToDate>false</LinksUpToDate>
  <CharactersWithSpaces>1320</CharactersWithSpaces>
  <Application>WPS Office_11.8.2.10386_F1E327BC-269C-435d-A152-05C5408002CA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2023-12-18T14:08:00Z</dcterms:created>
  <dc:creator>Legend User</dc:creator>
  <cp:lastModifiedBy>liuyun</cp:lastModifiedBy>
  <cp:lastPrinted>2019-12-05T15:53:00Z</cp:lastPrinted>
  <dcterms:modified xsi:type="dcterms:W3CDTF">2024-05-15T10:18:07Z</dcterms:modified>
  <dc:title>××产品质量监督抽查实施细则</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2052-11.8.2.10386</vt:lpwstr>
  </property>
  <property fmtid="{D5CDD505-2E9C-101B-9397-08002B2CF9AE}" pid="3" name="commondata">
    <vt:lpwstr>eyJoZGlkIjoiNDRmZDlmMjdkNDI1NjEzMmI2Y2M4ZTAxODQ5YmJlMTYifQ==</vt:lpwstr>
  </property>
  <property fmtid="{D5CDD505-2E9C-101B-9397-08002B2CF9AE}" pid="4" name="ICV">
    <vt:lpwstr>DBDC7264CE144FFB976630A4D944F487_13</vt:lpwstr>
  </property>
</Properties>
</file>