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2"/>
          <w:szCs w:val="32"/>
        </w:rPr>
      </w:pPr>
      <w:r>
        <w:rPr>
          <w:rFonts w:hint="eastAsia" w:eastAsia="方正小标宋简体" w:cs="方正仿宋简体"/>
          <w:sz w:val="32"/>
          <w:szCs w:val="32"/>
        </w:rPr>
        <w:t>辽宁省门、窗用未增塑聚氯乙烯（PVC-U）型材</w:t>
      </w:r>
    </w:p>
    <w:p>
      <w:pPr>
        <w:spacing w:line="594" w:lineRule="exact"/>
        <w:jc w:val="center"/>
        <w:rPr>
          <w:rFonts w:eastAsia="方正小标宋简体" w:cs="方正仿宋简体"/>
          <w:sz w:val="32"/>
          <w:szCs w:val="32"/>
        </w:rPr>
      </w:pPr>
      <w:r>
        <w:rPr>
          <w:rFonts w:eastAsia="方正小标宋简体" w:cs="方正仿宋简体"/>
          <w:sz w:val="32"/>
          <w:szCs w:val="32"/>
        </w:rPr>
        <w:t>产品质量监督抽查实施细则</w:t>
      </w:r>
    </w:p>
    <w:p>
      <w:pPr>
        <w:jc w:val="center"/>
        <w:rPr>
          <w:rFonts w:ascii="黑体" w:hAnsi="宋体" w:eastAsia="黑体"/>
          <w:szCs w:val="32"/>
        </w:rPr>
      </w:pPr>
    </w:p>
    <w:p>
      <w:pPr>
        <w:snapToGrid w:val="0"/>
        <w:spacing w:line="440" w:lineRule="exact"/>
        <w:rPr>
          <w:rFonts w:ascii="Times New Roman" w:hAnsi="Times New Roman" w:eastAsia="黑体"/>
          <w:szCs w:val="21"/>
        </w:rPr>
      </w:pPr>
      <w:r>
        <w:rPr>
          <w:rFonts w:hint="eastAsia" w:ascii="Times New Roman" w:hAnsi="Times New Roman" w:eastAsia="黑体"/>
          <w:szCs w:val="21"/>
        </w:rPr>
        <w:t>1抽样方法</w:t>
      </w:r>
    </w:p>
    <w:p>
      <w:pPr>
        <w:snapToGrid w:val="0"/>
        <w:spacing w:line="440" w:lineRule="exact"/>
        <w:ind w:firstLine="420" w:firstLineChars="200"/>
        <w:rPr>
          <w:rFonts w:ascii="Times New Roman" w:hAnsi="Times New Roman"/>
          <w:szCs w:val="21"/>
        </w:rPr>
      </w:pPr>
      <w:r>
        <w:rPr>
          <w:rFonts w:ascii="Times New Roman"/>
          <w:szCs w:val="21"/>
        </w:rPr>
        <w:t>以随机抽样的方式在被抽样生产者、销售者的待销产品中抽取。</w:t>
      </w:r>
    </w:p>
    <w:p>
      <w:pPr>
        <w:snapToGrid w:val="0"/>
        <w:spacing w:line="440" w:lineRule="exact"/>
        <w:ind w:firstLine="420" w:firstLineChars="200"/>
        <w:rPr>
          <w:rFonts w:ascii="Times New Roman" w:hAnsi="Times New Roman"/>
          <w:szCs w:val="21"/>
        </w:rPr>
      </w:pPr>
      <w:r>
        <w:rPr>
          <w:rFonts w:ascii="Times New Roman"/>
          <w:szCs w:val="21"/>
        </w:rPr>
        <w:t>随机数一般可使用随机数表等方法产生。</w:t>
      </w:r>
    </w:p>
    <w:p>
      <w:pPr>
        <w:snapToGrid w:val="0"/>
        <w:spacing w:line="440" w:lineRule="exact"/>
        <w:ind w:firstLine="420" w:firstLineChars="200"/>
        <w:rPr>
          <w:rFonts w:ascii="Times New Roman" w:hAnsi="Times New Roman"/>
          <w:szCs w:val="21"/>
        </w:rPr>
      </w:pPr>
      <w:r>
        <w:rPr>
          <w:rFonts w:ascii="Times New Roman"/>
          <w:szCs w:val="21"/>
        </w:rPr>
        <w:t>共抽取</w:t>
      </w:r>
      <w:r>
        <w:rPr>
          <w:rFonts w:ascii="Times New Roman" w:hAnsi="Times New Roman"/>
          <w:szCs w:val="21"/>
        </w:rPr>
        <w:t>9</w:t>
      </w:r>
      <w:r>
        <w:rPr>
          <w:rFonts w:ascii="Times New Roman"/>
          <w:szCs w:val="21"/>
        </w:rPr>
        <w:t>根门、窗用未增塑聚氯乙烯（</w:t>
      </w:r>
      <w:r>
        <w:rPr>
          <w:rFonts w:ascii="Times New Roman" w:hAnsi="Times New Roman"/>
          <w:szCs w:val="21"/>
        </w:rPr>
        <w:t>PVC-U</w:t>
      </w:r>
      <w:r>
        <w:rPr>
          <w:rFonts w:ascii="Times New Roman"/>
          <w:szCs w:val="21"/>
        </w:rPr>
        <w:t>）型材，每根型材标识</w:t>
      </w:r>
      <w:r>
        <w:rPr>
          <w:rFonts w:ascii="Times New Roman" w:hAnsi="Times New Roman"/>
          <w:szCs w:val="21"/>
        </w:rPr>
        <w:t>1</w:t>
      </w:r>
      <w:r>
        <w:rPr>
          <w:rFonts w:ascii="Times New Roman"/>
          <w:szCs w:val="21"/>
        </w:rPr>
        <w:t>、</w:t>
      </w:r>
      <w:r>
        <w:rPr>
          <w:rFonts w:ascii="Times New Roman" w:hAnsi="Times New Roman"/>
          <w:szCs w:val="21"/>
        </w:rPr>
        <w:t>2</w:t>
      </w:r>
      <w:r>
        <w:rPr>
          <w:rFonts w:ascii="Times New Roman"/>
          <w:szCs w:val="21"/>
        </w:rPr>
        <w:t>、</w:t>
      </w:r>
      <w:r>
        <w:rPr>
          <w:rFonts w:ascii="Times New Roman" w:hAnsi="Times New Roman"/>
          <w:szCs w:val="21"/>
        </w:rPr>
        <w:t>……</w:t>
      </w:r>
      <w:r>
        <w:rPr>
          <w:rFonts w:ascii="Times New Roman"/>
          <w:szCs w:val="21"/>
        </w:rPr>
        <w:t>、</w:t>
      </w:r>
      <w:r>
        <w:rPr>
          <w:rFonts w:ascii="Times New Roman" w:hAnsi="Times New Roman"/>
          <w:szCs w:val="21"/>
        </w:rPr>
        <w:t xml:space="preserve">9 </w:t>
      </w:r>
      <w:r>
        <w:rPr>
          <w:rFonts w:ascii="Times New Roman"/>
          <w:szCs w:val="21"/>
        </w:rPr>
        <w:t>编号，从编号</w:t>
      </w:r>
      <w:r>
        <w:rPr>
          <w:rFonts w:ascii="Times New Roman" w:hAnsi="Times New Roman"/>
          <w:szCs w:val="21"/>
        </w:rPr>
        <w:t>1</w:t>
      </w:r>
      <w:r>
        <w:rPr>
          <w:rFonts w:ascii="Times New Roman"/>
          <w:szCs w:val="21"/>
        </w:rPr>
        <w:t>、</w:t>
      </w:r>
      <w:r>
        <w:rPr>
          <w:rFonts w:ascii="Times New Roman" w:hAnsi="Times New Roman"/>
          <w:szCs w:val="21"/>
        </w:rPr>
        <w:t>2…5</w:t>
      </w:r>
      <w:r>
        <w:rPr>
          <w:rFonts w:ascii="Times New Roman"/>
          <w:szCs w:val="21"/>
        </w:rPr>
        <w:t>、</w:t>
      </w:r>
      <w:r>
        <w:rPr>
          <w:rFonts w:ascii="Times New Roman" w:hAnsi="Times New Roman"/>
          <w:szCs w:val="21"/>
        </w:rPr>
        <w:t>6</w:t>
      </w:r>
      <w:r>
        <w:rPr>
          <w:rFonts w:ascii="Times New Roman"/>
          <w:szCs w:val="21"/>
        </w:rPr>
        <w:t>的型材上分别锯切</w:t>
      </w:r>
      <w:r>
        <w:rPr>
          <w:rFonts w:ascii="Times New Roman" w:hAnsi="Times New Roman"/>
          <w:szCs w:val="21"/>
        </w:rPr>
        <w:t>1m</w:t>
      </w:r>
      <w:r>
        <w:rPr>
          <w:rFonts w:ascii="Times New Roman"/>
          <w:szCs w:val="21"/>
        </w:rPr>
        <w:t>长的样品各</w:t>
      </w:r>
      <w:r>
        <w:rPr>
          <w:rFonts w:ascii="Times New Roman" w:hAnsi="Times New Roman"/>
          <w:szCs w:val="21"/>
        </w:rPr>
        <w:t>3</w:t>
      </w:r>
      <w:r>
        <w:rPr>
          <w:rFonts w:ascii="Times New Roman"/>
          <w:szCs w:val="21"/>
        </w:rPr>
        <w:t>段共</w:t>
      </w:r>
      <w:r>
        <w:rPr>
          <w:rFonts w:ascii="Times New Roman" w:hAnsi="Times New Roman"/>
          <w:szCs w:val="21"/>
        </w:rPr>
        <w:t>18 m</w:t>
      </w:r>
      <w:r>
        <w:rPr>
          <w:rFonts w:ascii="Times New Roman"/>
          <w:szCs w:val="21"/>
        </w:rPr>
        <w:t>，转移</w:t>
      </w:r>
      <w:r>
        <w:rPr>
          <w:rFonts w:ascii="Times New Roman" w:hAnsi="Times New Roman"/>
          <w:szCs w:val="21"/>
        </w:rPr>
        <w:t>1</w:t>
      </w:r>
      <w:r>
        <w:rPr>
          <w:rFonts w:ascii="Times New Roman"/>
          <w:szCs w:val="21"/>
        </w:rPr>
        <w:t>、</w:t>
      </w:r>
      <w:r>
        <w:rPr>
          <w:rFonts w:ascii="Times New Roman" w:hAnsi="Times New Roman"/>
          <w:szCs w:val="21"/>
        </w:rPr>
        <w:t>2…5</w:t>
      </w:r>
      <w:r>
        <w:rPr>
          <w:rFonts w:ascii="Times New Roman"/>
          <w:szCs w:val="21"/>
        </w:rPr>
        <w:t>、</w:t>
      </w:r>
      <w:r>
        <w:rPr>
          <w:rFonts w:ascii="Times New Roman" w:hAnsi="Times New Roman"/>
          <w:szCs w:val="21"/>
        </w:rPr>
        <w:t xml:space="preserve">6 </w:t>
      </w:r>
      <w:r>
        <w:rPr>
          <w:rFonts w:ascii="Times New Roman"/>
          <w:szCs w:val="21"/>
        </w:rPr>
        <w:t>编号至各段型材上为一包，签封标明为检验样品。从编号</w:t>
      </w:r>
      <w:r>
        <w:rPr>
          <w:rFonts w:ascii="Times New Roman" w:hAnsi="Times New Roman"/>
          <w:szCs w:val="21"/>
        </w:rPr>
        <w:t>7</w:t>
      </w:r>
      <w:r>
        <w:rPr>
          <w:rFonts w:ascii="Times New Roman"/>
          <w:szCs w:val="21"/>
        </w:rPr>
        <w:t>、</w:t>
      </w:r>
      <w:r>
        <w:rPr>
          <w:rFonts w:ascii="Times New Roman" w:hAnsi="Times New Roman"/>
          <w:szCs w:val="21"/>
        </w:rPr>
        <w:t>8</w:t>
      </w:r>
      <w:r>
        <w:rPr>
          <w:rFonts w:ascii="Times New Roman"/>
          <w:szCs w:val="21"/>
        </w:rPr>
        <w:t>、</w:t>
      </w:r>
      <w:r>
        <w:rPr>
          <w:rFonts w:ascii="Times New Roman" w:hAnsi="Times New Roman"/>
          <w:szCs w:val="21"/>
        </w:rPr>
        <w:t>9</w:t>
      </w:r>
      <w:r>
        <w:rPr>
          <w:rFonts w:ascii="Times New Roman"/>
          <w:szCs w:val="21"/>
        </w:rPr>
        <w:t>的型材上锯切</w:t>
      </w:r>
      <w:r>
        <w:rPr>
          <w:rFonts w:ascii="Times New Roman" w:hAnsi="Times New Roman"/>
          <w:szCs w:val="21"/>
        </w:rPr>
        <w:t>1m</w:t>
      </w:r>
      <w:r>
        <w:rPr>
          <w:rFonts w:ascii="Times New Roman"/>
          <w:szCs w:val="21"/>
        </w:rPr>
        <w:t>长的样品各</w:t>
      </w:r>
      <w:r>
        <w:rPr>
          <w:rFonts w:ascii="Times New Roman" w:hAnsi="Times New Roman"/>
          <w:szCs w:val="21"/>
        </w:rPr>
        <w:t>3</w:t>
      </w:r>
      <w:r>
        <w:rPr>
          <w:rFonts w:ascii="Times New Roman"/>
          <w:szCs w:val="21"/>
        </w:rPr>
        <w:t>段共</w:t>
      </w:r>
      <w:r>
        <w:rPr>
          <w:rFonts w:ascii="Times New Roman" w:hAnsi="Times New Roman"/>
          <w:szCs w:val="21"/>
        </w:rPr>
        <w:t>9 m</w:t>
      </w:r>
      <w:r>
        <w:rPr>
          <w:rFonts w:ascii="Times New Roman"/>
          <w:szCs w:val="21"/>
        </w:rPr>
        <w:t>，转移</w:t>
      </w:r>
      <w:r>
        <w:rPr>
          <w:rFonts w:ascii="Times New Roman" w:hAnsi="Times New Roman"/>
          <w:szCs w:val="21"/>
        </w:rPr>
        <w:t>7</w:t>
      </w:r>
      <w:r>
        <w:rPr>
          <w:rFonts w:ascii="Times New Roman"/>
          <w:szCs w:val="21"/>
        </w:rPr>
        <w:t>、</w:t>
      </w:r>
      <w:r>
        <w:rPr>
          <w:rFonts w:ascii="Times New Roman" w:hAnsi="Times New Roman"/>
          <w:szCs w:val="21"/>
        </w:rPr>
        <w:t>8</w:t>
      </w:r>
      <w:r>
        <w:rPr>
          <w:rFonts w:ascii="Times New Roman"/>
          <w:szCs w:val="21"/>
        </w:rPr>
        <w:t>、</w:t>
      </w:r>
      <w:r>
        <w:rPr>
          <w:rFonts w:ascii="Times New Roman" w:hAnsi="Times New Roman"/>
          <w:szCs w:val="21"/>
        </w:rPr>
        <w:t>9</w:t>
      </w:r>
      <w:r>
        <w:rPr>
          <w:rFonts w:ascii="Times New Roman"/>
          <w:szCs w:val="21"/>
        </w:rPr>
        <w:t>编号至各段型材上为一包，签封标明为备用样品。</w:t>
      </w:r>
    </w:p>
    <w:p>
      <w:pPr>
        <w:snapToGrid w:val="0"/>
        <w:spacing w:line="440" w:lineRule="exact"/>
        <w:ind w:firstLine="420" w:firstLineChars="200"/>
        <w:rPr>
          <w:szCs w:val="21"/>
        </w:rPr>
      </w:pPr>
    </w:p>
    <w:p>
      <w:pPr>
        <w:snapToGrid w:val="0"/>
        <w:spacing w:line="440" w:lineRule="exact"/>
        <w:rPr>
          <w:rFonts w:ascii="仿宋_GB2312" w:hAnsi="宋体" w:eastAsia="仿宋_GB2312"/>
          <w:color w:val="000000" w:themeColor="text1"/>
          <w:szCs w:val="21"/>
        </w:rPr>
      </w:pPr>
      <w:r>
        <w:rPr>
          <w:rFonts w:eastAsia="黑体"/>
          <w:szCs w:val="21"/>
        </w:rPr>
        <w:t>2 检验依据</w:t>
      </w:r>
    </w:p>
    <w:tbl>
      <w:tblPr>
        <w:tblStyle w:val="6"/>
        <w:tblW w:w="81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628"/>
        <w:gridCol w:w="1845"/>
        <w:gridCol w:w="2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blHeader/>
          <w:jc w:val="center"/>
        </w:trPr>
        <w:tc>
          <w:tcPr>
            <w:tcW w:w="774" w:type="dxa"/>
            <w:vAlign w:val="center"/>
          </w:tcPr>
          <w:p>
            <w:pPr>
              <w:snapToGrid w:val="0"/>
              <w:jc w:val="center"/>
              <w:rPr>
                <w:szCs w:val="21"/>
              </w:rPr>
            </w:pPr>
            <w:bookmarkStart w:id="0" w:name="_GoBack"/>
            <w:bookmarkEnd w:id="0"/>
            <w:r>
              <w:rPr>
                <w:rFonts w:hint="eastAsia"/>
                <w:szCs w:val="21"/>
              </w:rPr>
              <w:t>序号</w:t>
            </w:r>
          </w:p>
        </w:tc>
        <w:tc>
          <w:tcPr>
            <w:tcW w:w="2628" w:type="dxa"/>
            <w:vAlign w:val="center"/>
          </w:tcPr>
          <w:p>
            <w:pPr>
              <w:snapToGrid w:val="0"/>
              <w:jc w:val="center"/>
              <w:rPr>
                <w:szCs w:val="21"/>
              </w:rPr>
            </w:pPr>
            <w:r>
              <w:rPr>
                <w:rFonts w:hint="eastAsia"/>
                <w:szCs w:val="21"/>
              </w:rPr>
              <w:t>检验项目</w:t>
            </w:r>
          </w:p>
        </w:tc>
        <w:tc>
          <w:tcPr>
            <w:tcW w:w="1845" w:type="dxa"/>
            <w:vAlign w:val="center"/>
          </w:tcPr>
          <w:p>
            <w:pPr>
              <w:snapToGrid w:val="0"/>
              <w:jc w:val="center"/>
              <w:rPr>
                <w:szCs w:val="21"/>
              </w:rPr>
            </w:pPr>
            <w:r>
              <w:rPr>
                <w:rFonts w:hint="eastAsia"/>
                <w:szCs w:val="21"/>
              </w:rPr>
              <w:t>依据标准</w:t>
            </w:r>
          </w:p>
        </w:tc>
        <w:tc>
          <w:tcPr>
            <w:tcW w:w="2860" w:type="dxa"/>
            <w:vAlign w:val="center"/>
          </w:tcPr>
          <w:p>
            <w:pPr>
              <w:snapToGrid w:val="0"/>
              <w:jc w:val="center"/>
              <w:rPr>
                <w:szCs w:val="21"/>
              </w:rPr>
            </w:pPr>
            <w:r>
              <w:rPr>
                <w:rFonts w:hint="eastAsia"/>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74" w:type="dxa"/>
            <w:vAlign w:val="center"/>
          </w:tcPr>
          <w:p>
            <w:pPr>
              <w:snapToGrid w:val="0"/>
              <w:jc w:val="center"/>
              <w:rPr>
                <w:szCs w:val="21"/>
              </w:rPr>
            </w:pPr>
            <w:r>
              <w:rPr>
                <w:rFonts w:hint="eastAsia"/>
                <w:szCs w:val="21"/>
              </w:rPr>
              <w:t>1</w:t>
            </w:r>
          </w:p>
        </w:tc>
        <w:tc>
          <w:tcPr>
            <w:tcW w:w="2628" w:type="dxa"/>
            <w:shd w:val="clear" w:color="auto" w:fill="auto"/>
            <w:vAlign w:val="center"/>
          </w:tcPr>
          <w:p>
            <w:pPr>
              <w:snapToGrid w:val="0"/>
              <w:jc w:val="center"/>
              <w:rPr>
                <w:szCs w:val="21"/>
              </w:rPr>
            </w:pPr>
            <w:r>
              <w:rPr>
                <w:rFonts w:hint="eastAsia"/>
                <w:szCs w:val="21"/>
              </w:rPr>
              <w:t>加热后尺寸变化率</w:t>
            </w:r>
          </w:p>
        </w:tc>
        <w:tc>
          <w:tcPr>
            <w:tcW w:w="1845" w:type="dxa"/>
            <w:vMerge w:val="restart"/>
            <w:vAlign w:val="center"/>
          </w:tcPr>
          <w:p>
            <w:pPr>
              <w:autoSpaceDE w:val="0"/>
              <w:autoSpaceDN w:val="0"/>
              <w:jc w:val="center"/>
              <w:rPr>
                <w:rFonts w:ascii="Times New Roman" w:hAnsi="Times New Roman"/>
                <w:kern w:val="0"/>
                <w:szCs w:val="21"/>
              </w:rPr>
            </w:pPr>
            <w:r>
              <w:rPr>
                <w:rFonts w:hint="eastAsia" w:ascii="Times New Roman" w:hAnsi="Times New Roman"/>
                <w:kern w:val="0"/>
                <w:szCs w:val="21"/>
              </w:rPr>
              <w:t>GB/T 8814-2017</w:t>
            </w:r>
          </w:p>
        </w:tc>
        <w:tc>
          <w:tcPr>
            <w:tcW w:w="2860" w:type="dxa"/>
            <w:vAlign w:val="center"/>
          </w:tcPr>
          <w:p>
            <w:pPr>
              <w:autoSpaceDE w:val="0"/>
              <w:autoSpaceDN w:val="0"/>
              <w:jc w:val="center"/>
              <w:rPr>
                <w:rFonts w:ascii="Times New Roman" w:hAnsi="Times New Roman"/>
                <w:kern w:val="0"/>
                <w:szCs w:val="21"/>
              </w:rPr>
            </w:pPr>
            <w:r>
              <w:rPr>
                <w:rFonts w:hint="eastAsia" w:ascii="Times New Roman" w:hAnsi="Times New Roman"/>
                <w:kern w:val="0"/>
                <w:szCs w:val="21"/>
              </w:rPr>
              <w:t>GB/T 8814-2017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74" w:type="dxa"/>
            <w:vAlign w:val="center"/>
          </w:tcPr>
          <w:p>
            <w:pPr>
              <w:snapToGrid w:val="0"/>
              <w:jc w:val="center"/>
              <w:rPr>
                <w:szCs w:val="21"/>
              </w:rPr>
            </w:pPr>
            <w:r>
              <w:rPr>
                <w:rFonts w:hint="eastAsia"/>
                <w:szCs w:val="21"/>
              </w:rPr>
              <w:t>2</w:t>
            </w:r>
          </w:p>
        </w:tc>
        <w:tc>
          <w:tcPr>
            <w:tcW w:w="2628" w:type="dxa"/>
            <w:shd w:val="clear" w:color="auto" w:fill="auto"/>
            <w:vAlign w:val="center"/>
          </w:tcPr>
          <w:p>
            <w:pPr>
              <w:snapToGrid w:val="0"/>
              <w:jc w:val="center"/>
              <w:rPr>
                <w:szCs w:val="21"/>
              </w:rPr>
            </w:pPr>
            <w:r>
              <w:rPr>
                <w:rFonts w:hint="eastAsia"/>
                <w:szCs w:val="21"/>
              </w:rPr>
              <w:t>落锤冲击</w:t>
            </w:r>
          </w:p>
        </w:tc>
        <w:tc>
          <w:tcPr>
            <w:tcW w:w="1845" w:type="dxa"/>
            <w:vMerge w:val="continue"/>
            <w:vAlign w:val="center"/>
          </w:tcPr>
          <w:p>
            <w:pPr>
              <w:autoSpaceDE w:val="0"/>
              <w:autoSpaceDN w:val="0"/>
              <w:jc w:val="center"/>
              <w:rPr>
                <w:rFonts w:ascii="Times New Roman" w:hAnsi="Times New Roman"/>
                <w:kern w:val="0"/>
                <w:szCs w:val="21"/>
              </w:rPr>
            </w:pPr>
          </w:p>
        </w:tc>
        <w:tc>
          <w:tcPr>
            <w:tcW w:w="2860" w:type="dxa"/>
            <w:vAlign w:val="center"/>
          </w:tcPr>
          <w:p>
            <w:pPr>
              <w:autoSpaceDE w:val="0"/>
              <w:autoSpaceDN w:val="0"/>
              <w:jc w:val="center"/>
              <w:rPr>
                <w:rFonts w:ascii="Times New Roman" w:hAnsi="Times New Roman"/>
                <w:kern w:val="0"/>
                <w:szCs w:val="21"/>
              </w:rPr>
            </w:pPr>
            <w:r>
              <w:rPr>
                <w:rFonts w:hint="eastAsia" w:ascii="Times New Roman" w:hAnsi="Times New Roman"/>
                <w:kern w:val="0"/>
                <w:szCs w:val="21"/>
              </w:rPr>
              <w:t>GB/T 8814-2017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74" w:type="dxa"/>
            <w:vAlign w:val="center"/>
          </w:tcPr>
          <w:p>
            <w:pPr>
              <w:snapToGrid w:val="0"/>
              <w:jc w:val="center"/>
              <w:rPr>
                <w:szCs w:val="21"/>
              </w:rPr>
            </w:pPr>
            <w:r>
              <w:rPr>
                <w:rFonts w:hint="eastAsia"/>
                <w:szCs w:val="21"/>
              </w:rPr>
              <w:t>3</w:t>
            </w:r>
          </w:p>
        </w:tc>
        <w:tc>
          <w:tcPr>
            <w:tcW w:w="2628" w:type="dxa"/>
            <w:shd w:val="clear" w:color="auto" w:fill="auto"/>
            <w:vAlign w:val="center"/>
          </w:tcPr>
          <w:p>
            <w:pPr>
              <w:snapToGrid w:val="0"/>
              <w:jc w:val="center"/>
              <w:rPr>
                <w:szCs w:val="21"/>
              </w:rPr>
            </w:pPr>
            <w:r>
              <w:rPr>
                <w:rFonts w:hint="eastAsia"/>
                <w:szCs w:val="21"/>
              </w:rPr>
              <w:t>加热后状态</w:t>
            </w:r>
          </w:p>
        </w:tc>
        <w:tc>
          <w:tcPr>
            <w:tcW w:w="1845" w:type="dxa"/>
            <w:vMerge w:val="continue"/>
            <w:vAlign w:val="center"/>
          </w:tcPr>
          <w:p>
            <w:pPr>
              <w:autoSpaceDE w:val="0"/>
              <w:autoSpaceDN w:val="0"/>
              <w:jc w:val="center"/>
              <w:rPr>
                <w:rFonts w:ascii="Times New Roman" w:hAnsi="Times New Roman"/>
                <w:kern w:val="0"/>
                <w:szCs w:val="21"/>
              </w:rPr>
            </w:pPr>
          </w:p>
        </w:tc>
        <w:tc>
          <w:tcPr>
            <w:tcW w:w="2860" w:type="dxa"/>
            <w:vAlign w:val="center"/>
          </w:tcPr>
          <w:p>
            <w:pPr>
              <w:autoSpaceDE w:val="0"/>
              <w:autoSpaceDN w:val="0"/>
              <w:jc w:val="center"/>
              <w:rPr>
                <w:rFonts w:ascii="Times New Roman" w:hAnsi="Times New Roman"/>
                <w:kern w:val="0"/>
                <w:szCs w:val="21"/>
              </w:rPr>
            </w:pPr>
            <w:r>
              <w:rPr>
                <w:rFonts w:hint="eastAsia" w:ascii="Times New Roman" w:hAnsi="Times New Roman"/>
                <w:kern w:val="0"/>
                <w:szCs w:val="21"/>
              </w:rPr>
              <w:t>GB/T 8814-2017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74" w:type="dxa"/>
            <w:vAlign w:val="center"/>
          </w:tcPr>
          <w:p>
            <w:pPr>
              <w:snapToGrid w:val="0"/>
              <w:jc w:val="center"/>
              <w:rPr>
                <w:szCs w:val="21"/>
              </w:rPr>
            </w:pPr>
            <w:r>
              <w:rPr>
                <w:rFonts w:hint="eastAsia"/>
                <w:szCs w:val="21"/>
              </w:rPr>
              <w:t>4</w:t>
            </w:r>
          </w:p>
        </w:tc>
        <w:tc>
          <w:tcPr>
            <w:tcW w:w="2628" w:type="dxa"/>
            <w:shd w:val="clear" w:color="auto" w:fill="auto"/>
            <w:vAlign w:val="center"/>
          </w:tcPr>
          <w:p>
            <w:pPr>
              <w:snapToGrid w:val="0"/>
              <w:jc w:val="center"/>
              <w:rPr>
                <w:szCs w:val="21"/>
              </w:rPr>
            </w:pPr>
            <w:r>
              <w:rPr>
                <w:rFonts w:hint="eastAsia"/>
                <w:szCs w:val="21"/>
              </w:rPr>
              <w:t>维卡软化温度</w:t>
            </w:r>
          </w:p>
        </w:tc>
        <w:tc>
          <w:tcPr>
            <w:tcW w:w="1845" w:type="dxa"/>
            <w:vMerge w:val="continue"/>
            <w:vAlign w:val="center"/>
          </w:tcPr>
          <w:p>
            <w:pPr>
              <w:autoSpaceDE w:val="0"/>
              <w:autoSpaceDN w:val="0"/>
              <w:jc w:val="center"/>
              <w:rPr>
                <w:rFonts w:ascii="Times New Roman" w:hAnsi="Times New Roman"/>
                <w:kern w:val="0"/>
                <w:szCs w:val="21"/>
              </w:rPr>
            </w:pPr>
          </w:p>
        </w:tc>
        <w:tc>
          <w:tcPr>
            <w:tcW w:w="2860" w:type="dxa"/>
            <w:vAlign w:val="center"/>
          </w:tcPr>
          <w:p>
            <w:pPr>
              <w:autoSpaceDE w:val="0"/>
              <w:autoSpaceDN w:val="0"/>
              <w:jc w:val="center"/>
              <w:rPr>
                <w:rFonts w:ascii="Times New Roman" w:hAnsi="Times New Roman"/>
                <w:kern w:val="0"/>
                <w:szCs w:val="21"/>
              </w:rPr>
            </w:pPr>
            <w:r>
              <w:rPr>
                <w:rFonts w:hint="eastAsia" w:ascii="Times New Roman" w:hAnsi="Times New Roman"/>
                <w:kern w:val="0"/>
                <w:szCs w:val="21"/>
              </w:rPr>
              <w:t>GB/T 1633-2000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74" w:type="dxa"/>
            <w:vAlign w:val="center"/>
          </w:tcPr>
          <w:p>
            <w:pPr>
              <w:snapToGrid w:val="0"/>
              <w:jc w:val="center"/>
              <w:rPr>
                <w:szCs w:val="21"/>
              </w:rPr>
            </w:pPr>
            <w:r>
              <w:rPr>
                <w:rFonts w:hint="eastAsia"/>
                <w:szCs w:val="21"/>
              </w:rPr>
              <w:t>5</w:t>
            </w:r>
          </w:p>
        </w:tc>
        <w:tc>
          <w:tcPr>
            <w:tcW w:w="2628" w:type="dxa"/>
            <w:shd w:val="clear" w:color="auto" w:fill="auto"/>
            <w:vAlign w:val="center"/>
          </w:tcPr>
          <w:p>
            <w:pPr>
              <w:snapToGrid w:val="0"/>
              <w:jc w:val="center"/>
              <w:rPr>
                <w:szCs w:val="21"/>
              </w:rPr>
            </w:pPr>
            <w:r>
              <w:rPr>
                <w:rFonts w:hint="eastAsia"/>
                <w:szCs w:val="21"/>
              </w:rPr>
              <w:t>弯曲弹性模量</w:t>
            </w:r>
          </w:p>
        </w:tc>
        <w:tc>
          <w:tcPr>
            <w:tcW w:w="1845" w:type="dxa"/>
            <w:vMerge w:val="continue"/>
            <w:vAlign w:val="center"/>
          </w:tcPr>
          <w:p>
            <w:pPr>
              <w:autoSpaceDE w:val="0"/>
              <w:autoSpaceDN w:val="0"/>
              <w:jc w:val="center"/>
              <w:rPr>
                <w:rFonts w:ascii="Times New Roman" w:hAnsi="Times New Roman"/>
                <w:kern w:val="0"/>
                <w:szCs w:val="21"/>
              </w:rPr>
            </w:pPr>
          </w:p>
        </w:tc>
        <w:tc>
          <w:tcPr>
            <w:tcW w:w="2860" w:type="dxa"/>
            <w:vAlign w:val="center"/>
          </w:tcPr>
          <w:p>
            <w:pPr>
              <w:autoSpaceDE w:val="0"/>
              <w:autoSpaceDN w:val="0"/>
              <w:jc w:val="center"/>
              <w:rPr>
                <w:rFonts w:ascii="Times New Roman" w:hAnsi="Times New Roman"/>
                <w:kern w:val="0"/>
                <w:szCs w:val="21"/>
              </w:rPr>
            </w:pPr>
            <w:r>
              <w:rPr>
                <w:rFonts w:hint="eastAsia" w:ascii="Times New Roman" w:hAnsi="Times New Roman"/>
                <w:kern w:val="0"/>
                <w:szCs w:val="21"/>
              </w:rPr>
              <w:t>GB/T 9341-2008</w:t>
            </w:r>
          </w:p>
        </w:tc>
      </w:tr>
    </w:tbl>
    <w:p>
      <w:pPr>
        <w:snapToGrid w:val="0"/>
        <w:spacing w:line="440" w:lineRule="exact"/>
        <w:ind w:firstLine="420" w:firstLineChars="200"/>
        <w:rPr>
          <w:rFonts w:ascii="Times New Roman" w:hAnsi="Times New Roman"/>
          <w:szCs w:val="21"/>
        </w:rPr>
      </w:pPr>
      <w:r>
        <w:rPr>
          <w:rFonts w:hint="eastAsia" w:ascii="Times New Roman" w:hAnsi="Times New Roman"/>
          <w:szCs w:val="21"/>
        </w:rPr>
        <w:t>执行企业标准、团体标准、地方标准的产品，检验项目参照上述内容执行。</w:t>
      </w:r>
    </w:p>
    <w:p>
      <w:pPr>
        <w:snapToGrid w:val="0"/>
        <w:spacing w:line="440" w:lineRule="exact"/>
        <w:ind w:firstLine="420" w:firstLineChars="200"/>
        <w:rPr>
          <w:rFonts w:hint="eastAsia"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ascii="Times New Roman" w:hAnsi="Times New Roman"/>
          <w:szCs w:val="21"/>
        </w:rPr>
      </w:pPr>
    </w:p>
    <w:p>
      <w:pPr>
        <w:spacing w:line="360" w:lineRule="auto"/>
        <w:rPr>
          <w:rFonts w:eastAsia="黑体"/>
          <w:szCs w:val="21"/>
        </w:rPr>
      </w:pPr>
      <w:r>
        <w:rPr>
          <w:rFonts w:eastAsia="黑体"/>
          <w:szCs w:val="21"/>
        </w:rPr>
        <w:t>3 判定规则</w:t>
      </w:r>
    </w:p>
    <w:p>
      <w:pPr>
        <w:snapToGrid w:val="0"/>
        <w:spacing w:line="440" w:lineRule="exact"/>
        <w:rPr>
          <w:rFonts w:ascii="Times New Roman" w:hAnsi="Times New Roman"/>
          <w:szCs w:val="21"/>
        </w:rPr>
      </w:pPr>
      <w:r>
        <w:rPr>
          <w:rFonts w:ascii="Times New Roman" w:hAnsi="Times New Roman"/>
          <w:szCs w:val="21"/>
        </w:rPr>
        <w:t>3.1依据标准</w:t>
      </w:r>
    </w:p>
    <w:p>
      <w:pPr>
        <w:snapToGrid w:val="0"/>
        <w:spacing w:line="440" w:lineRule="exact"/>
        <w:ind w:firstLine="420" w:firstLineChars="200"/>
        <w:rPr>
          <w:rFonts w:ascii="Times New Roman" w:hAnsi="Times New Roman"/>
          <w:szCs w:val="21"/>
        </w:rPr>
      </w:pPr>
      <w:r>
        <w:rPr>
          <w:rFonts w:hint="eastAsia" w:ascii="Times New Roman" w:hAnsi="Times New Roman"/>
          <w:szCs w:val="21"/>
        </w:rPr>
        <w:t>GB/T 8814-2017《门、窗用未增塑聚氯乙烯（PVC-U）型材》</w:t>
      </w:r>
    </w:p>
    <w:p>
      <w:pPr>
        <w:snapToGrid w:val="0"/>
        <w:spacing w:line="440" w:lineRule="exact"/>
        <w:ind w:firstLine="420" w:firstLineChars="200"/>
        <w:rPr>
          <w:rFonts w:ascii="Times New Roman" w:hAnsi="Times New Roman"/>
          <w:szCs w:val="21"/>
        </w:rPr>
      </w:pPr>
      <w:r>
        <w:rPr>
          <w:rFonts w:ascii="Times New Roman" w:hAnsi="Times New Roman"/>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w:t>
      </w:r>
      <w:r>
        <w:rPr>
          <w:rFonts w:hint="eastAsia"/>
          <w:szCs w:val="21"/>
        </w:rPr>
        <w:t>所检项目未发现不</w:t>
      </w:r>
      <w:r>
        <w:rPr>
          <w:szCs w:val="21"/>
        </w:rPr>
        <w:t>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pPr>
        <w:widowControl/>
        <w:adjustRightInd w:val="0"/>
        <w:snapToGrid w:val="0"/>
        <w:spacing w:afterLines="50"/>
        <w:rPr>
          <w:rFonts w:ascii="黑体" w:eastAsia="黑体"/>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modern"/>
    <w:pitch w:val="default"/>
    <w:sig w:usb0="00000000" w:usb1="00000000" w:usb2="0000001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仿宋简体">
    <w:altName w:val="方正仿宋_GBK"/>
    <w:panose1 w:val="00000000000000000000"/>
    <w:charset w:val="00"/>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I1YmYxNjcyODU1YTFmODZkODhjOGRhY2E0ODY3ZDUifQ=="/>
  </w:docVars>
  <w:rsids>
    <w:rsidRoot w:val="00B32679"/>
    <w:rsid w:val="00053EFC"/>
    <w:rsid w:val="000623B5"/>
    <w:rsid w:val="000A7648"/>
    <w:rsid w:val="000C40CF"/>
    <w:rsid w:val="000C7FAA"/>
    <w:rsid w:val="000D2002"/>
    <w:rsid w:val="000E4826"/>
    <w:rsid w:val="000F79E9"/>
    <w:rsid w:val="001300B3"/>
    <w:rsid w:val="00130529"/>
    <w:rsid w:val="00182A36"/>
    <w:rsid w:val="001B25D9"/>
    <w:rsid w:val="001B6E21"/>
    <w:rsid w:val="001C3E50"/>
    <w:rsid w:val="001C6932"/>
    <w:rsid w:val="001D4CF7"/>
    <w:rsid w:val="001E48DD"/>
    <w:rsid w:val="001F445B"/>
    <w:rsid w:val="001F4DBA"/>
    <w:rsid w:val="0023370C"/>
    <w:rsid w:val="00247CFA"/>
    <w:rsid w:val="00254682"/>
    <w:rsid w:val="00255435"/>
    <w:rsid w:val="002A299A"/>
    <w:rsid w:val="002B49FB"/>
    <w:rsid w:val="002B783E"/>
    <w:rsid w:val="002E70FD"/>
    <w:rsid w:val="002F34FA"/>
    <w:rsid w:val="002F423C"/>
    <w:rsid w:val="003076DF"/>
    <w:rsid w:val="00341A24"/>
    <w:rsid w:val="00360B4F"/>
    <w:rsid w:val="00373FB4"/>
    <w:rsid w:val="0037771F"/>
    <w:rsid w:val="003812B8"/>
    <w:rsid w:val="00387151"/>
    <w:rsid w:val="003901CA"/>
    <w:rsid w:val="00392195"/>
    <w:rsid w:val="00396E4A"/>
    <w:rsid w:val="00397AD9"/>
    <w:rsid w:val="003A773D"/>
    <w:rsid w:val="00413A29"/>
    <w:rsid w:val="0041721D"/>
    <w:rsid w:val="00435B96"/>
    <w:rsid w:val="004575DB"/>
    <w:rsid w:val="0048725B"/>
    <w:rsid w:val="00496197"/>
    <w:rsid w:val="004D363B"/>
    <w:rsid w:val="004E0A2B"/>
    <w:rsid w:val="005017AC"/>
    <w:rsid w:val="0050573D"/>
    <w:rsid w:val="00517D56"/>
    <w:rsid w:val="00522D22"/>
    <w:rsid w:val="00532842"/>
    <w:rsid w:val="005419E5"/>
    <w:rsid w:val="00561759"/>
    <w:rsid w:val="00563ED8"/>
    <w:rsid w:val="00576F6A"/>
    <w:rsid w:val="00591CFA"/>
    <w:rsid w:val="005C2DDA"/>
    <w:rsid w:val="005D21DE"/>
    <w:rsid w:val="00601AE5"/>
    <w:rsid w:val="00602822"/>
    <w:rsid w:val="006109C5"/>
    <w:rsid w:val="00611B80"/>
    <w:rsid w:val="00623C16"/>
    <w:rsid w:val="00632955"/>
    <w:rsid w:val="00642116"/>
    <w:rsid w:val="00664BA4"/>
    <w:rsid w:val="0066627F"/>
    <w:rsid w:val="00676455"/>
    <w:rsid w:val="00682773"/>
    <w:rsid w:val="00694E7B"/>
    <w:rsid w:val="006B19FA"/>
    <w:rsid w:val="006D44E0"/>
    <w:rsid w:val="006D67D2"/>
    <w:rsid w:val="006E49E5"/>
    <w:rsid w:val="007024A4"/>
    <w:rsid w:val="00710A52"/>
    <w:rsid w:val="0071325A"/>
    <w:rsid w:val="00724496"/>
    <w:rsid w:val="00725A28"/>
    <w:rsid w:val="007425B8"/>
    <w:rsid w:val="007920FB"/>
    <w:rsid w:val="00795C97"/>
    <w:rsid w:val="007F009B"/>
    <w:rsid w:val="0083253B"/>
    <w:rsid w:val="008348C2"/>
    <w:rsid w:val="008741C9"/>
    <w:rsid w:val="008756CA"/>
    <w:rsid w:val="00890F70"/>
    <w:rsid w:val="008B29A9"/>
    <w:rsid w:val="008C6985"/>
    <w:rsid w:val="008C7E3F"/>
    <w:rsid w:val="008D60D1"/>
    <w:rsid w:val="008F66A0"/>
    <w:rsid w:val="00907571"/>
    <w:rsid w:val="009335ED"/>
    <w:rsid w:val="009553EF"/>
    <w:rsid w:val="009741E2"/>
    <w:rsid w:val="0097462C"/>
    <w:rsid w:val="00974C29"/>
    <w:rsid w:val="00985542"/>
    <w:rsid w:val="009A2413"/>
    <w:rsid w:val="009A27AC"/>
    <w:rsid w:val="009B65CD"/>
    <w:rsid w:val="009C070A"/>
    <w:rsid w:val="009D4E50"/>
    <w:rsid w:val="009F1328"/>
    <w:rsid w:val="009F6E92"/>
    <w:rsid w:val="00A66407"/>
    <w:rsid w:val="00A90187"/>
    <w:rsid w:val="00A906B1"/>
    <w:rsid w:val="00AA1224"/>
    <w:rsid w:val="00AA645C"/>
    <w:rsid w:val="00AE3359"/>
    <w:rsid w:val="00AE7967"/>
    <w:rsid w:val="00AF0598"/>
    <w:rsid w:val="00AF3683"/>
    <w:rsid w:val="00B00608"/>
    <w:rsid w:val="00B03A40"/>
    <w:rsid w:val="00B043A5"/>
    <w:rsid w:val="00B13B2C"/>
    <w:rsid w:val="00B20DCF"/>
    <w:rsid w:val="00B32679"/>
    <w:rsid w:val="00B44378"/>
    <w:rsid w:val="00B70C44"/>
    <w:rsid w:val="00B73252"/>
    <w:rsid w:val="00B813C6"/>
    <w:rsid w:val="00B848D8"/>
    <w:rsid w:val="00B864DB"/>
    <w:rsid w:val="00BB3727"/>
    <w:rsid w:val="00BC5952"/>
    <w:rsid w:val="00BC5EBE"/>
    <w:rsid w:val="00BF08E3"/>
    <w:rsid w:val="00C00962"/>
    <w:rsid w:val="00C023B0"/>
    <w:rsid w:val="00C60589"/>
    <w:rsid w:val="00C80094"/>
    <w:rsid w:val="00D21591"/>
    <w:rsid w:val="00D3610C"/>
    <w:rsid w:val="00D5315E"/>
    <w:rsid w:val="00D71625"/>
    <w:rsid w:val="00DB17A3"/>
    <w:rsid w:val="00E0683A"/>
    <w:rsid w:val="00E25CB8"/>
    <w:rsid w:val="00E41EB0"/>
    <w:rsid w:val="00E4383B"/>
    <w:rsid w:val="00E57036"/>
    <w:rsid w:val="00E67326"/>
    <w:rsid w:val="00E67A5D"/>
    <w:rsid w:val="00EC5562"/>
    <w:rsid w:val="00EE637B"/>
    <w:rsid w:val="00EF48CB"/>
    <w:rsid w:val="00EF66E9"/>
    <w:rsid w:val="00F04F3B"/>
    <w:rsid w:val="00F15A10"/>
    <w:rsid w:val="00F15D77"/>
    <w:rsid w:val="00F30967"/>
    <w:rsid w:val="00F33E4B"/>
    <w:rsid w:val="00F35E82"/>
    <w:rsid w:val="00F46F86"/>
    <w:rsid w:val="00F5743D"/>
    <w:rsid w:val="00F6554B"/>
    <w:rsid w:val="00F67C53"/>
    <w:rsid w:val="00F723D2"/>
    <w:rsid w:val="00F7631B"/>
    <w:rsid w:val="00F8533D"/>
    <w:rsid w:val="00FA1245"/>
    <w:rsid w:val="00FA20D1"/>
    <w:rsid w:val="00FA62AA"/>
    <w:rsid w:val="00FB0D1C"/>
    <w:rsid w:val="00FB4A53"/>
    <w:rsid w:val="00FC1594"/>
    <w:rsid w:val="00FD0A04"/>
    <w:rsid w:val="00FE5E81"/>
    <w:rsid w:val="07252B37"/>
    <w:rsid w:val="13081996"/>
    <w:rsid w:val="17AD21E7"/>
    <w:rsid w:val="182034EB"/>
    <w:rsid w:val="30F009F7"/>
    <w:rsid w:val="73EE30D9"/>
    <w:rsid w:val="FFE646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Balloon Text"/>
    <w:basedOn w:val="1"/>
    <w:link w:val="9"/>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批注框文本 Char"/>
    <w:basedOn w:val="8"/>
    <w:link w:val="3"/>
    <w:semiHidden/>
    <w:qFormat/>
    <w:uiPriority w:val="99"/>
    <w:rPr>
      <w:rFonts w:ascii="Calibri" w:hAnsi="Calibri" w:eastAsia="宋体" w:cs="Times New Roman"/>
      <w:sz w:val="18"/>
      <w:szCs w:val="18"/>
    </w:rPr>
  </w:style>
  <w:style w:type="paragraph" w:customStyle="1" w:styleId="10">
    <w:name w:val="肥料正文"/>
    <w:basedOn w:val="1"/>
    <w:qFormat/>
    <w:uiPriority w:val="0"/>
    <w:pPr>
      <w:adjustRightInd w:val="0"/>
      <w:snapToGrid w:val="0"/>
      <w:spacing w:line="316" w:lineRule="auto"/>
      <w:ind w:firstLine="200" w:firstLineChars="200"/>
    </w:pPr>
    <w:rPr>
      <w:rFonts w:ascii="Times New Roman" w:hAnsi="Times New Roman" w:eastAsia="汉鼎简书宋二"/>
      <w:spacing w:val="2"/>
      <w:kern w:val="0"/>
      <w:sz w:val="22"/>
      <w:szCs w:val="24"/>
    </w:rPr>
  </w:style>
  <w:style w:type="character" w:customStyle="1" w:styleId="11">
    <w:name w:val="页眉 Char"/>
    <w:basedOn w:val="8"/>
    <w:link w:val="5"/>
    <w:qFormat/>
    <w:uiPriority w:val="99"/>
    <w:rPr>
      <w:rFonts w:ascii="Calibri" w:hAnsi="Calibri" w:eastAsia="宋体" w:cs="Times New Roman"/>
      <w:sz w:val="18"/>
      <w:szCs w:val="18"/>
    </w:rPr>
  </w:style>
  <w:style w:type="character" w:customStyle="1" w:styleId="12">
    <w:name w:val="页脚 Char"/>
    <w:basedOn w:val="8"/>
    <w:link w:val="4"/>
    <w:qFormat/>
    <w:uiPriority w:val="99"/>
    <w:rPr>
      <w:rFonts w:ascii="Calibri" w:hAnsi="Calibri" w:eastAsia="宋体" w:cs="Times New Roman"/>
      <w:sz w:val="18"/>
      <w:szCs w:val="18"/>
    </w:rPr>
  </w:style>
  <w:style w:type="character" w:customStyle="1" w:styleId="13">
    <w:name w:val="日期 Char"/>
    <w:basedOn w:val="8"/>
    <w:link w:val="2"/>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141</Words>
  <Characters>804</Characters>
  <Lines>6</Lines>
  <Paragraphs>1</Paragraphs>
  <TotalTime>19</TotalTime>
  <ScaleCrop>false</ScaleCrop>
  <LinksUpToDate>false</LinksUpToDate>
  <CharactersWithSpaces>944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2019-12-17T13:00:00Z</dcterms:created>
  <dc:creator>jiangdw</dc:creator>
  <cp:lastModifiedBy>guozg</cp:lastModifiedBy>
  <dcterms:modified xsi:type="dcterms:W3CDTF">2024-05-15T16:01:44Z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A5A1D23CBE5B48FE919D5EF353940A29_12</vt:lpwstr>
  </property>
</Properties>
</file>