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sz w:val="32"/>
          <w:szCs w:val="32"/>
        </w:rPr>
      </w:pPr>
      <w:r>
        <w:rPr>
          <w:rFonts w:hint="eastAsia" w:eastAsia="方正小标宋简体"/>
          <w:sz w:val="32"/>
          <w:szCs w:val="32"/>
          <w:lang w:val="en-US" w:eastAsia="zh-CN"/>
        </w:rPr>
        <w:t>辽宁省</w:t>
      </w:r>
      <w:r>
        <w:rPr>
          <w:rFonts w:eastAsia="方正小标宋简体"/>
          <w:sz w:val="32"/>
          <w:szCs w:val="32"/>
        </w:rPr>
        <w:t>玩具产品质量监督抽查实施细则</w:t>
      </w:r>
    </w:p>
    <w:p>
      <w:pPr>
        <w:adjustRightInd w:val="0"/>
        <w:snapToGrid w:val="0"/>
        <w:spacing w:line="440" w:lineRule="exact"/>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rPr>
          <w:szCs w:val="21"/>
        </w:rPr>
        <w:t>每批次</w:t>
      </w:r>
      <w:r>
        <w:rPr>
          <w:rFonts w:hint="eastAsia" w:cs="宋体"/>
        </w:rPr>
        <w:t>产品</w:t>
      </w:r>
      <w:r>
        <w:rPr>
          <w:szCs w:val="21"/>
        </w:rPr>
        <w:t>抽样数量3个，其中2个作为检验样品，1个作为备用样品。</w:t>
      </w:r>
    </w:p>
    <w:p>
      <w:pPr>
        <w:snapToGrid w:val="0"/>
        <w:spacing w:line="440" w:lineRule="exact"/>
        <w:ind w:firstLine="420" w:firstLineChars="200"/>
        <w:rPr>
          <w:szCs w:val="21"/>
        </w:rPr>
      </w:pPr>
    </w:p>
    <w:p>
      <w:pPr>
        <w:snapToGrid w:val="0"/>
        <w:spacing w:line="440" w:lineRule="exact"/>
        <w:rPr>
          <w:rFonts w:eastAsia="黑体"/>
          <w:szCs w:val="21"/>
        </w:rPr>
      </w:pPr>
      <w:r>
        <w:rPr>
          <w:rFonts w:eastAsia="黑体"/>
          <w:szCs w:val="21"/>
        </w:rPr>
        <w:t>2 检验依据</w:t>
      </w:r>
    </w:p>
    <w:p>
      <w:pPr>
        <w:snapToGrid w:val="0"/>
        <w:spacing w:line="440" w:lineRule="exact"/>
        <w:jc w:val="center"/>
        <w:rPr>
          <w:rFonts w:eastAsia="黑体"/>
          <w:szCs w:val="21"/>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2516"/>
        <w:gridCol w:w="2734"/>
        <w:gridCol w:w="2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639" w:type="pct"/>
            <w:noWrap w:val="0"/>
            <w:vAlign w:val="center"/>
          </w:tcPr>
          <w:p>
            <w:pPr>
              <w:jc w:val="center"/>
              <w:rPr>
                <w:szCs w:val="21"/>
              </w:rPr>
            </w:pPr>
            <w:r>
              <w:rPr>
                <w:szCs w:val="21"/>
              </w:rPr>
              <w:t>序号</w:t>
            </w:r>
          </w:p>
        </w:tc>
        <w:tc>
          <w:tcPr>
            <w:tcW w:w="1371" w:type="pct"/>
            <w:noWrap w:val="0"/>
            <w:vAlign w:val="center"/>
          </w:tcPr>
          <w:p>
            <w:pPr>
              <w:jc w:val="center"/>
              <w:rPr>
                <w:szCs w:val="21"/>
              </w:rPr>
            </w:pPr>
            <w:r>
              <w:rPr>
                <w:szCs w:val="21"/>
              </w:rPr>
              <w:t>检验项目</w:t>
            </w:r>
          </w:p>
        </w:tc>
        <w:tc>
          <w:tcPr>
            <w:tcW w:w="1490" w:type="pct"/>
            <w:noWrap w:val="0"/>
            <w:vAlign w:val="top"/>
          </w:tcPr>
          <w:p>
            <w:pPr>
              <w:jc w:val="center"/>
              <w:rPr>
                <w:szCs w:val="21"/>
              </w:rPr>
            </w:pPr>
            <w:r>
              <w:rPr>
                <w:szCs w:val="21"/>
              </w:rPr>
              <w:t>检验依据</w:t>
            </w:r>
          </w:p>
        </w:tc>
        <w:tc>
          <w:tcPr>
            <w:tcW w:w="1498" w:type="pct"/>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4"/>
            <w:noWrap w:val="0"/>
            <w:vAlign w:val="top"/>
          </w:tcPr>
          <w:p>
            <w:pPr>
              <w:pStyle w:val="4"/>
              <w:jc w:val="left"/>
              <w:rPr>
                <w:rFonts w:ascii="Times New Roman" w:hAnsi="Times New Roman"/>
                <w:sz w:val="21"/>
                <w:szCs w:val="21"/>
                <w:lang w:val="en-US" w:eastAsia="zh-CN"/>
              </w:rPr>
            </w:pPr>
            <w:r>
              <w:rPr>
                <w:rFonts w:ascii="Times New Roman" w:hAnsi="Times New Roman"/>
                <w:bCs/>
                <w:sz w:val="21"/>
                <w:szCs w:val="21"/>
                <w:lang w:val="en-US" w:eastAsia="zh-CN"/>
              </w:rPr>
              <w:t>一、机械与物理性能（正常使用）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1</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小零件</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bookmarkStart w:id="1" w:name="_GoBack"/>
            <w:bookmarkEnd w:id="1"/>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2</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可触及的金属或玻璃边缘</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3</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功能性锐利边缘</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bookmarkStart w:id="0" w:name="_Hlk28281258"/>
            <w:r>
              <w:rPr>
                <w:rFonts w:hint="eastAsia" w:ascii="Times New Roman" w:hAnsi="Times New Roman"/>
                <w:bCs/>
                <w:sz w:val="21"/>
                <w:szCs w:val="21"/>
                <w:lang w:val="en-US" w:eastAsia="zh-CN"/>
              </w:rPr>
              <w:t>4</w:t>
            </w:r>
          </w:p>
        </w:tc>
        <w:tc>
          <w:tcPr>
            <w:tcW w:w="1371" w:type="pct"/>
            <w:noWrap w:val="0"/>
            <w:vAlign w:val="center"/>
          </w:tcPr>
          <w:p>
            <w:pPr>
              <w:spacing w:line="320" w:lineRule="exact"/>
              <w:rPr>
                <w:bCs/>
                <w:szCs w:val="21"/>
              </w:rPr>
            </w:pPr>
            <w:r>
              <w:rPr>
                <w:bCs/>
                <w:kern w:val="0"/>
                <w:szCs w:val="21"/>
              </w:rPr>
              <w:t>金属玩具边缘</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5</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模塑玩具边缘</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6</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外露螺栓或螺纹杆的边缘</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7</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可触及的锐利尖端</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8</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功能性锐利尖端</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9</w:t>
            </w:r>
          </w:p>
        </w:tc>
        <w:tc>
          <w:tcPr>
            <w:tcW w:w="1371" w:type="pct"/>
            <w:noWrap w:val="0"/>
            <w:vAlign w:val="center"/>
          </w:tcPr>
          <w:p>
            <w:pPr>
              <w:spacing w:line="320" w:lineRule="exact"/>
              <w:rPr>
                <w:bCs/>
                <w:kern w:val="0"/>
                <w:szCs w:val="21"/>
              </w:rPr>
            </w:pPr>
            <w:r>
              <w:rPr>
                <w:bCs/>
                <w:kern w:val="0"/>
                <w:szCs w:val="21"/>
              </w:rPr>
              <w:t>木制玩具</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hint="default" w:ascii="Times New Roman" w:hAnsi="Times New Roman"/>
                <w:bCs/>
                <w:sz w:val="21"/>
                <w:szCs w:val="21"/>
                <w:lang w:val="en-US" w:eastAsia="zh-CN"/>
              </w:rPr>
            </w:pPr>
            <w:r>
              <w:rPr>
                <w:rFonts w:hint="eastAsia" w:ascii="Times New Roman" w:hAnsi="Times New Roman"/>
                <w:bCs/>
                <w:sz w:val="21"/>
                <w:szCs w:val="21"/>
                <w:lang w:val="en-US" w:eastAsia="zh-CN"/>
              </w:rPr>
              <w:t>10</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用于包装或玩具中的塑料袋或塑料薄膜</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4"/>
            <w:noWrap w:val="0"/>
            <w:vAlign w:val="top"/>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二、机械与物理性能（可预见的合理滥用）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1</w:t>
            </w:r>
          </w:p>
        </w:tc>
        <w:tc>
          <w:tcPr>
            <w:tcW w:w="1371" w:type="pct"/>
            <w:noWrap w:val="0"/>
            <w:vAlign w:val="center"/>
          </w:tcPr>
          <w:p>
            <w:pPr>
              <w:spacing w:line="300" w:lineRule="auto"/>
              <w:rPr>
                <w:bCs/>
                <w:szCs w:val="21"/>
              </w:rPr>
            </w:pPr>
            <w:r>
              <w:rPr>
                <w:bCs/>
                <w:szCs w:val="21"/>
              </w:rPr>
              <w:t>小零件</w:t>
            </w:r>
          </w:p>
        </w:tc>
        <w:tc>
          <w:tcPr>
            <w:tcW w:w="1490" w:type="pct"/>
            <w:noWrap w:val="0"/>
            <w:vAlign w:val="top"/>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2</w:t>
            </w:r>
          </w:p>
        </w:tc>
        <w:tc>
          <w:tcPr>
            <w:tcW w:w="1371" w:type="pct"/>
            <w:noWrap w:val="0"/>
            <w:vAlign w:val="center"/>
          </w:tcPr>
          <w:p>
            <w:pPr>
              <w:spacing w:line="300" w:lineRule="auto"/>
              <w:rPr>
                <w:bCs/>
                <w:szCs w:val="21"/>
              </w:rPr>
            </w:pPr>
            <w:r>
              <w:rPr>
                <w:bCs/>
                <w:szCs w:val="21"/>
              </w:rPr>
              <w:t>可触及的金属或玻璃边缘</w:t>
            </w:r>
          </w:p>
        </w:tc>
        <w:tc>
          <w:tcPr>
            <w:tcW w:w="1490" w:type="pct"/>
            <w:noWrap w:val="0"/>
            <w:vAlign w:val="top"/>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3</w:t>
            </w:r>
          </w:p>
        </w:tc>
        <w:tc>
          <w:tcPr>
            <w:tcW w:w="1371" w:type="pct"/>
            <w:noWrap w:val="0"/>
            <w:vAlign w:val="center"/>
          </w:tcPr>
          <w:p>
            <w:pPr>
              <w:spacing w:line="320" w:lineRule="exact"/>
              <w:rPr>
                <w:bCs/>
                <w:szCs w:val="21"/>
              </w:rPr>
            </w:pPr>
            <w:r>
              <w:rPr>
                <w:bCs/>
                <w:kern w:val="0"/>
                <w:szCs w:val="21"/>
              </w:rPr>
              <w:t>金属玩具边缘</w:t>
            </w:r>
          </w:p>
        </w:tc>
        <w:tc>
          <w:tcPr>
            <w:tcW w:w="1490" w:type="pct"/>
            <w:noWrap w:val="0"/>
            <w:vAlign w:val="top"/>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4</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模塑玩具边缘</w:t>
            </w:r>
          </w:p>
        </w:tc>
        <w:tc>
          <w:tcPr>
            <w:tcW w:w="1490" w:type="pct"/>
            <w:noWrap w:val="0"/>
            <w:vAlign w:val="top"/>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5</w:t>
            </w:r>
          </w:p>
        </w:tc>
        <w:tc>
          <w:tcPr>
            <w:tcW w:w="1371" w:type="pct"/>
            <w:noWrap w:val="0"/>
            <w:vAlign w:val="center"/>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外露螺栓或螺纹杆的边缘</w:t>
            </w:r>
          </w:p>
        </w:tc>
        <w:tc>
          <w:tcPr>
            <w:tcW w:w="1490" w:type="pct"/>
            <w:noWrap w:val="0"/>
            <w:vAlign w:val="top"/>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6</w:t>
            </w:r>
          </w:p>
        </w:tc>
        <w:tc>
          <w:tcPr>
            <w:tcW w:w="1371" w:type="pct"/>
            <w:noWrap w:val="0"/>
            <w:vAlign w:val="center"/>
          </w:tcPr>
          <w:p>
            <w:pPr>
              <w:spacing w:line="300" w:lineRule="auto"/>
              <w:rPr>
                <w:bCs/>
                <w:szCs w:val="21"/>
              </w:rPr>
            </w:pPr>
            <w:r>
              <w:rPr>
                <w:bCs/>
                <w:szCs w:val="21"/>
              </w:rPr>
              <w:t>可触及的锐利尖端</w:t>
            </w:r>
          </w:p>
        </w:tc>
        <w:tc>
          <w:tcPr>
            <w:tcW w:w="1490" w:type="pct"/>
            <w:noWrap w:val="0"/>
            <w:vAlign w:val="top"/>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hint="eastAsia" w:ascii="Times New Roman" w:hAnsi="Times New Roman"/>
                <w:bCs/>
                <w:sz w:val="21"/>
                <w:szCs w:val="21"/>
                <w:lang w:val="en-US" w:eastAsia="zh-CN"/>
              </w:rPr>
              <w:t>7</w:t>
            </w:r>
          </w:p>
        </w:tc>
        <w:tc>
          <w:tcPr>
            <w:tcW w:w="1371" w:type="pct"/>
            <w:noWrap w:val="0"/>
            <w:vAlign w:val="center"/>
          </w:tcPr>
          <w:p>
            <w:pPr>
              <w:spacing w:line="300" w:lineRule="auto"/>
              <w:rPr>
                <w:bCs/>
                <w:szCs w:val="21"/>
              </w:rPr>
            </w:pPr>
            <w:r>
              <w:rPr>
                <w:kern w:val="0"/>
                <w:szCs w:val="21"/>
              </w:rPr>
              <w:t>木制玩具</w:t>
            </w:r>
          </w:p>
        </w:tc>
        <w:tc>
          <w:tcPr>
            <w:tcW w:w="1490" w:type="pct"/>
            <w:noWrap w:val="0"/>
            <w:vAlign w:val="top"/>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6675.2</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4"/>
            <w:noWrap w:val="0"/>
            <w:vAlign w:val="top"/>
          </w:tcPr>
          <w:p>
            <w:pPr>
              <w:pStyle w:val="19"/>
              <w:adjustRightInd w:val="0"/>
              <w:snapToGrid w:val="0"/>
              <w:ind w:left="0"/>
              <w:jc w:val="left"/>
              <w:rPr>
                <w:rFonts w:ascii="Times New Roman"/>
                <w:szCs w:val="21"/>
              </w:rPr>
            </w:pPr>
            <w:r>
              <w:rPr>
                <w:rFonts w:ascii="Times New Roman"/>
                <w:bCs/>
                <w:szCs w:val="21"/>
              </w:rPr>
              <w:t>三、易燃性能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1</w:t>
            </w:r>
          </w:p>
        </w:tc>
        <w:tc>
          <w:tcPr>
            <w:tcW w:w="1371" w:type="pct"/>
            <w:noWrap w:val="0"/>
            <w:vAlign w:val="center"/>
          </w:tcPr>
          <w:p>
            <w:pPr>
              <w:pStyle w:val="4"/>
              <w:spacing w:line="300" w:lineRule="auto"/>
              <w:rPr>
                <w:rFonts w:ascii="Times New Roman" w:hAnsi="Times New Roman"/>
                <w:bCs/>
                <w:kern w:val="2"/>
                <w:sz w:val="21"/>
                <w:szCs w:val="21"/>
                <w:lang w:val="en-US" w:eastAsia="zh-CN"/>
              </w:rPr>
            </w:pPr>
            <w:r>
              <w:rPr>
                <w:rFonts w:ascii="Times New Roman" w:hAnsi="Times New Roman"/>
                <w:bCs/>
                <w:kern w:val="2"/>
                <w:sz w:val="21"/>
                <w:szCs w:val="21"/>
                <w:lang w:val="en-US" w:eastAsia="zh-CN"/>
              </w:rPr>
              <w:t>一般要求</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2</w:t>
            </w:r>
          </w:p>
        </w:tc>
        <w:tc>
          <w:tcPr>
            <w:tcW w:w="1371" w:type="pct"/>
            <w:noWrap w:val="0"/>
            <w:vAlign w:val="center"/>
          </w:tcPr>
          <w:p>
            <w:pPr>
              <w:pStyle w:val="4"/>
              <w:spacing w:line="300" w:lineRule="auto"/>
              <w:rPr>
                <w:rFonts w:ascii="Times New Roman" w:hAnsi="Times New Roman"/>
                <w:bCs/>
                <w:kern w:val="2"/>
                <w:sz w:val="21"/>
                <w:szCs w:val="21"/>
                <w:lang w:val="en-US" w:eastAsia="zh-CN"/>
              </w:rPr>
            </w:pPr>
            <w:r>
              <w:rPr>
                <w:rFonts w:ascii="Times New Roman" w:hAnsi="Times New Roman"/>
                <w:bCs/>
                <w:kern w:val="2"/>
                <w:sz w:val="21"/>
                <w:szCs w:val="21"/>
                <w:lang w:val="en-US" w:eastAsia="zh-CN"/>
              </w:rPr>
              <w:t>头戴玩具</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3</w:t>
            </w:r>
          </w:p>
        </w:tc>
        <w:tc>
          <w:tcPr>
            <w:tcW w:w="1371" w:type="pct"/>
            <w:noWrap w:val="0"/>
            <w:vAlign w:val="center"/>
          </w:tcPr>
          <w:p>
            <w:pPr>
              <w:pStyle w:val="4"/>
              <w:spacing w:line="300" w:lineRule="auto"/>
              <w:rPr>
                <w:rFonts w:ascii="Times New Roman" w:hAnsi="Times New Roman"/>
                <w:bCs/>
                <w:kern w:val="2"/>
                <w:sz w:val="21"/>
                <w:szCs w:val="21"/>
                <w:lang w:val="en-US" w:eastAsia="zh-CN"/>
              </w:rPr>
            </w:pPr>
            <w:r>
              <w:rPr>
                <w:rFonts w:ascii="Times New Roman" w:hAnsi="Times New Roman"/>
                <w:bCs/>
                <w:kern w:val="2"/>
                <w:sz w:val="21"/>
                <w:szCs w:val="21"/>
                <w:lang w:val="en-US" w:eastAsia="zh-CN"/>
              </w:rPr>
              <w:t>化妆服饰</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4</w:t>
            </w:r>
          </w:p>
        </w:tc>
        <w:tc>
          <w:tcPr>
            <w:tcW w:w="1371" w:type="pct"/>
            <w:noWrap w:val="0"/>
            <w:vAlign w:val="center"/>
          </w:tcPr>
          <w:p>
            <w:pPr>
              <w:pStyle w:val="4"/>
              <w:spacing w:line="300" w:lineRule="auto"/>
              <w:rPr>
                <w:rFonts w:ascii="Times New Roman" w:hAnsi="Times New Roman"/>
                <w:bCs/>
                <w:kern w:val="2"/>
                <w:sz w:val="21"/>
                <w:szCs w:val="21"/>
                <w:lang w:val="en-US" w:eastAsia="zh-CN"/>
              </w:rPr>
            </w:pPr>
            <w:r>
              <w:rPr>
                <w:rFonts w:ascii="Times New Roman" w:hAnsi="Times New Roman"/>
                <w:szCs w:val="21"/>
              </w:rPr>
              <w:t>供儿童进入的玩具</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5</w:t>
            </w:r>
          </w:p>
        </w:tc>
        <w:tc>
          <w:tcPr>
            <w:tcW w:w="1371" w:type="pct"/>
            <w:noWrap w:val="0"/>
            <w:vAlign w:val="center"/>
          </w:tcPr>
          <w:p>
            <w:pPr>
              <w:pStyle w:val="4"/>
              <w:spacing w:line="300" w:lineRule="exact"/>
              <w:rPr>
                <w:rFonts w:ascii="Times New Roman" w:hAnsi="Times New Roman"/>
                <w:bCs/>
                <w:kern w:val="2"/>
                <w:sz w:val="21"/>
                <w:szCs w:val="21"/>
                <w:lang w:val="en-US" w:eastAsia="zh-CN"/>
              </w:rPr>
            </w:pPr>
            <w:r>
              <w:rPr>
                <w:rFonts w:ascii="Times New Roman" w:hAnsi="Times New Roman"/>
                <w:bCs/>
                <w:kern w:val="2"/>
                <w:sz w:val="21"/>
                <w:szCs w:val="21"/>
                <w:lang w:val="en-US" w:eastAsia="zh-CN"/>
              </w:rPr>
              <w:t>具有毛绒或纺织表面的软体填充玩具（动物和娃娃等）</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6675.3</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4"/>
            <w:noWrap w:val="0"/>
            <w:vAlign w:val="top"/>
          </w:tcPr>
          <w:p>
            <w:pPr>
              <w:pStyle w:val="4"/>
              <w:jc w:val="left"/>
              <w:rPr>
                <w:rFonts w:ascii="Times New Roman" w:hAnsi="Times New Roman"/>
                <w:sz w:val="21"/>
                <w:szCs w:val="21"/>
                <w:lang w:val="en-US" w:eastAsia="zh-CN"/>
              </w:rPr>
            </w:pPr>
            <w:r>
              <w:rPr>
                <w:rFonts w:ascii="Times New Roman" w:hAnsi="Times New Roman"/>
                <w:bCs/>
                <w:sz w:val="21"/>
                <w:szCs w:val="21"/>
                <w:lang w:val="en-US" w:eastAsia="zh-CN"/>
              </w:rPr>
              <w:t>四、特定元素的迁移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1</w:t>
            </w:r>
          </w:p>
        </w:tc>
        <w:tc>
          <w:tcPr>
            <w:tcW w:w="1371" w:type="pct"/>
            <w:noWrap w:val="0"/>
            <w:vAlign w:val="center"/>
          </w:tcPr>
          <w:p>
            <w:pPr>
              <w:spacing w:line="300" w:lineRule="auto"/>
              <w:rPr>
                <w:bCs/>
                <w:szCs w:val="21"/>
              </w:rPr>
            </w:pPr>
            <w:r>
              <w:rPr>
                <w:bCs/>
                <w:szCs w:val="21"/>
              </w:rPr>
              <w:t>最大限量要求</w:t>
            </w:r>
          </w:p>
        </w:tc>
        <w:tc>
          <w:tcPr>
            <w:tcW w:w="1490" w:type="pct"/>
            <w:noWrap w:val="0"/>
            <w:vAlign w:val="top"/>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6675.1</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6675.4</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4"/>
            <w:noWrap w:val="0"/>
            <w:vAlign w:val="top"/>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五、增塑剂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1</w:t>
            </w:r>
          </w:p>
        </w:tc>
        <w:tc>
          <w:tcPr>
            <w:tcW w:w="1371" w:type="pct"/>
            <w:noWrap w:val="0"/>
            <w:vAlign w:val="center"/>
          </w:tcPr>
          <w:p>
            <w:pPr>
              <w:spacing w:line="300" w:lineRule="auto"/>
              <w:rPr>
                <w:bCs/>
                <w:szCs w:val="21"/>
              </w:rPr>
            </w:pPr>
            <w:r>
              <w:rPr>
                <w:bCs/>
                <w:szCs w:val="21"/>
              </w:rPr>
              <w:t>限定增塑剂限量要求</w:t>
            </w:r>
          </w:p>
        </w:tc>
        <w:tc>
          <w:tcPr>
            <w:tcW w:w="1490" w:type="pct"/>
            <w:noWrap w:val="0"/>
            <w:vAlign w:val="top"/>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6675.1</w:t>
            </w:r>
            <w:r>
              <w:rPr>
                <w:rFonts w:hint="eastAsia" w:ascii="Times New Roman" w:hAnsi="Times New Roman"/>
                <w:bCs/>
                <w:sz w:val="21"/>
                <w:szCs w:val="21"/>
                <w:lang w:val="en-US" w:eastAsia="zh-CN"/>
              </w:rPr>
              <w:t>-</w:t>
            </w:r>
            <w:r>
              <w:rPr>
                <w:rFonts w:ascii="Times New Roman" w:hAnsi="Times New Roman"/>
                <w:bCs/>
                <w:sz w:val="21"/>
                <w:szCs w:val="21"/>
                <w:lang w:val="en-US" w:eastAsia="zh-CN"/>
              </w:rPr>
              <w:t>2014</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GB/T 22048</w:t>
            </w:r>
            <w:r>
              <w:rPr>
                <w:rFonts w:hint="eastAsia" w:ascii="Times New Roman" w:hAnsi="Times New Roman"/>
                <w:bCs/>
                <w:sz w:val="21"/>
                <w:szCs w:val="21"/>
                <w:lang w:val="en-US" w:eastAsia="zh-CN"/>
              </w:rPr>
              <w:t>-</w:t>
            </w:r>
            <w:r>
              <w:rPr>
                <w:rFonts w:ascii="Times New Roman" w:hAnsi="Times New Roman"/>
                <w:bCs/>
                <w:sz w:val="21"/>
                <w:szCs w:val="21"/>
                <w:lang w:val="en-US" w:eastAsia="zh-CN"/>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5000" w:type="pct"/>
            <w:gridSpan w:val="4"/>
            <w:noWrap w:val="0"/>
            <w:vAlign w:val="top"/>
          </w:tcPr>
          <w:p>
            <w:pPr>
              <w:pStyle w:val="4"/>
              <w:spacing w:line="300" w:lineRule="auto"/>
              <w:jc w:val="left"/>
              <w:rPr>
                <w:rFonts w:ascii="Times New Roman" w:hAnsi="Times New Roman"/>
                <w:bCs/>
                <w:sz w:val="21"/>
                <w:szCs w:val="21"/>
                <w:lang w:val="en-US" w:eastAsia="zh-CN"/>
              </w:rPr>
            </w:pPr>
            <w:r>
              <w:rPr>
                <w:rFonts w:ascii="Times New Roman" w:hAnsi="Times New Roman"/>
                <w:bCs/>
                <w:sz w:val="21"/>
                <w:szCs w:val="21"/>
                <w:lang w:val="en-US" w:eastAsia="zh-CN"/>
              </w:rPr>
              <w:t>六、电性能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1</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标识和说明</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2005（含第1号修改单）</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2</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输入功率</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3</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发热和非正常工作</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2005（含第1号修改单）</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4</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工作温度下的电气强度</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5</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耐潮湿</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6</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室温下的电气强度</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7</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机械强度</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8</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结构</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9</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软线和电线的保护</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10</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螺钉和连接</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11</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电气间隙和爬电距离</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9" w:type="pct"/>
            <w:noWrap w:val="0"/>
            <w:vAlign w:val="center"/>
          </w:tcPr>
          <w:p>
            <w:pPr>
              <w:widowControl/>
              <w:spacing w:before="100" w:beforeAutospacing="1" w:after="100" w:afterAutospacing="1" w:line="360" w:lineRule="atLeast"/>
              <w:jc w:val="center"/>
              <w:rPr>
                <w:kern w:val="0"/>
                <w:szCs w:val="21"/>
              </w:rPr>
            </w:pPr>
            <w:r>
              <w:rPr>
                <w:kern w:val="0"/>
                <w:szCs w:val="21"/>
              </w:rPr>
              <w:t>12</w:t>
            </w:r>
          </w:p>
        </w:tc>
        <w:tc>
          <w:tcPr>
            <w:tcW w:w="1371" w:type="pct"/>
            <w:noWrap w:val="0"/>
            <w:vAlign w:val="center"/>
          </w:tcPr>
          <w:p>
            <w:pPr>
              <w:widowControl/>
              <w:spacing w:before="100" w:beforeAutospacing="1" w:after="100" w:afterAutospacing="1" w:line="360" w:lineRule="atLeast"/>
              <w:jc w:val="left"/>
              <w:rPr>
                <w:kern w:val="0"/>
                <w:szCs w:val="21"/>
              </w:rPr>
            </w:pPr>
            <w:r>
              <w:rPr>
                <w:kern w:val="0"/>
                <w:szCs w:val="21"/>
              </w:rPr>
              <w:t>耐热和耐燃</w:t>
            </w:r>
          </w:p>
        </w:tc>
        <w:tc>
          <w:tcPr>
            <w:tcW w:w="1490"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c>
          <w:tcPr>
            <w:tcW w:w="1498" w:type="pct"/>
            <w:noWrap w:val="0"/>
            <w:vAlign w:val="center"/>
          </w:tcPr>
          <w:p>
            <w:pPr>
              <w:pStyle w:val="4"/>
              <w:spacing w:line="300" w:lineRule="auto"/>
              <w:jc w:val="center"/>
              <w:rPr>
                <w:rFonts w:ascii="Times New Roman" w:hAnsi="Times New Roman"/>
                <w:bCs/>
                <w:sz w:val="21"/>
                <w:szCs w:val="21"/>
                <w:lang w:val="en-US" w:eastAsia="zh-CN"/>
              </w:rPr>
            </w:pPr>
            <w:r>
              <w:rPr>
                <w:rFonts w:ascii="Times New Roman" w:hAnsi="Times New Roman"/>
                <w:bCs/>
                <w:sz w:val="21"/>
                <w:szCs w:val="21"/>
                <w:lang w:val="en-US" w:eastAsia="zh-CN"/>
              </w:rPr>
              <w:t>GB 19865</w:t>
            </w:r>
            <w:r>
              <w:rPr>
                <w:rFonts w:hint="eastAsia" w:ascii="Times New Roman" w:hAnsi="Times New Roman"/>
                <w:bCs/>
                <w:sz w:val="21"/>
                <w:szCs w:val="21"/>
                <w:lang w:val="en-US" w:eastAsia="zh-CN"/>
              </w:rPr>
              <w:t>-</w:t>
            </w:r>
            <w:r>
              <w:rPr>
                <w:rFonts w:ascii="Times New Roman" w:hAnsi="Times New Roman"/>
                <w:bCs/>
                <w:sz w:val="21"/>
                <w:szCs w:val="21"/>
                <w:lang w:val="en-US" w:eastAsia="zh-CN"/>
              </w:rPr>
              <w:t>2005</w:t>
            </w:r>
          </w:p>
        </w:tc>
      </w:tr>
    </w:tbl>
    <w:p>
      <w:pPr>
        <w:snapToGrid w:val="0"/>
        <w:spacing w:line="440" w:lineRule="exact"/>
        <w:ind w:firstLine="359" w:firstLineChars="171"/>
        <w:rPr>
          <w:szCs w:val="21"/>
        </w:rPr>
      </w:pPr>
      <w:r>
        <w:rPr>
          <w:szCs w:val="21"/>
        </w:rPr>
        <w:t>执行企业标准、团体标准、地方标准的产品，检验项目参照上述内容执行。</w:t>
      </w: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adjustRightInd w:val="0"/>
        <w:snapToGrid w:val="0"/>
        <w:spacing w:line="440" w:lineRule="exact"/>
        <w:ind w:firstLine="420" w:firstLineChars="200"/>
        <w:rPr>
          <w:szCs w:val="21"/>
        </w:rPr>
      </w:pPr>
      <w:r>
        <w:rPr>
          <w:szCs w:val="21"/>
        </w:rPr>
        <w:t>GB 6675.1</w:t>
      </w:r>
      <w:r>
        <w:rPr>
          <w:rFonts w:hint="eastAsia"/>
          <w:lang w:eastAsia="zh-CN"/>
        </w:rPr>
        <w:t>-</w:t>
      </w:r>
      <w:r>
        <w:rPr>
          <w:szCs w:val="21"/>
        </w:rPr>
        <w:t>2014 玩具安全 第1部分：基本规范</w:t>
      </w:r>
    </w:p>
    <w:p>
      <w:pPr>
        <w:adjustRightInd w:val="0"/>
        <w:snapToGrid w:val="0"/>
        <w:spacing w:line="440" w:lineRule="exact"/>
        <w:ind w:firstLine="420" w:firstLineChars="200"/>
        <w:rPr>
          <w:szCs w:val="21"/>
        </w:rPr>
      </w:pPr>
      <w:r>
        <w:rPr>
          <w:szCs w:val="21"/>
        </w:rPr>
        <w:t>GB 6675.2</w:t>
      </w:r>
      <w:r>
        <w:rPr>
          <w:rFonts w:hint="eastAsia"/>
          <w:lang w:eastAsia="zh-CN"/>
        </w:rPr>
        <w:t>-</w:t>
      </w:r>
      <w:r>
        <w:rPr>
          <w:szCs w:val="21"/>
        </w:rPr>
        <w:t>2014玩具安全 第2部分：机械与物理性能</w:t>
      </w:r>
      <w:r>
        <w:rPr>
          <w:kern w:val="0"/>
          <w:szCs w:val="21"/>
        </w:rPr>
        <w:t>（含第1号修改单）</w:t>
      </w:r>
    </w:p>
    <w:p>
      <w:pPr>
        <w:adjustRightInd w:val="0"/>
        <w:snapToGrid w:val="0"/>
        <w:spacing w:line="440" w:lineRule="exact"/>
        <w:ind w:firstLine="420" w:firstLineChars="200"/>
        <w:rPr>
          <w:szCs w:val="21"/>
        </w:rPr>
      </w:pPr>
      <w:r>
        <w:rPr>
          <w:szCs w:val="21"/>
        </w:rPr>
        <w:t>GB 6675.3</w:t>
      </w:r>
      <w:r>
        <w:rPr>
          <w:rFonts w:hint="eastAsia"/>
          <w:lang w:eastAsia="zh-CN"/>
        </w:rPr>
        <w:t>-</w:t>
      </w:r>
      <w:r>
        <w:rPr>
          <w:szCs w:val="21"/>
        </w:rPr>
        <w:t>2014 玩具安全 第3部分：易燃性能</w:t>
      </w:r>
    </w:p>
    <w:p>
      <w:pPr>
        <w:adjustRightInd w:val="0"/>
        <w:snapToGrid w:val="0"/>
        <w:spacing w:line="440" w:lineRule="exact"/>
        <w:ind w:firstLine="420" w:firstLineChars="200"/>
        <w:rPr>
          <w:szCs w:val="21"/>
        </w:rPr>
      </w:pPr>
      <w:r>
        <w:rPr>
          <w:szCs w:val="21"/>
        </w:rPr>
        <w:t>GB 6675.4</w:t>
      </w:r>
      <w:r>
        <w:rPr>
          <w:rFonts w:hint="eastAsia"/>
          <w:lang w:eastAsia="zh-CN"/>
        </w:rPr>
        <w:t>-</w:t>
      </w:r>
      <w:r>
        <w:rPr>
          <w:szCs w:val="21"/>
        </w:rPr>
        <w:t>2014 玩具安全 第4部分：特定元素的迁移</w:t>
      </w:r>
    </w:p>
    <w:p>
      <w:pPr>
        <w:adjustRightInd w:val="0"/>
        <w:snapToGrid w:val="0"/>
        <w:spacing w:line="440" w:lineRule="exact"/>
        <w:ind w:firstLine="420" w:firstLineChars="200"/>
      </w:pPr>
      <w:r>
        <w:rPr>
          <w:kern w:val="0"/>
          <w:szCs w:val="21"/>
        </w:rPr>
        <w:t>GB 19865</w:t>
      </w:r>
      <w:r>
        <w:rPr>
          <w:rFonts w:hint="eastAsia"/>
          <w:lang w:eastAsia="zh-CN"/>
        </w:rPr>
        <w:t>-</w:t>
      </w:r>
      <w:r>
        <w:rPr>
          <w:kern w:val="0"/>
          <w:szCs w:val="21"/>
        </w:rPr>
        <w:t>2005电玩具的安全（含第1号修改单）</w:t>
      </w:r>
    </w:p>
    <w:p>
      <w:pPr>
        <w:adjustRightInd w:val="0"/>
        <w:snapToGrid w:val="0"/>
        <w:spacing w:line="440" w:lineRule="exact"/>
        <w:ind w:firstLine="420" w:firstLineChars="200"/>
      </w:pPr>
      <w:r>
        <w:t>GB/T 22048</w:t>
      </w:r>
      <w:r>
        <w:rPr>
          <w:rFonts w:hint="eastAsia"/>
          <w:lang w:eastAsia="zh-CN"/>
        </w:rPr>
        <w:t>-</w:t>
      </w:r>
      <w:r>
        <w:t>2022 玩具及儿童用品中特定邻苯二甲酸酯增塑剂的测定</w:t>
      </w:r>
    </w:p>
    <w:p>
      <w:pPr>
        <w:snapToGrid w:val="0"/>
        <w:spacing w:line="440" w:lineRule="exact"/>
        <w:ind w:firstLine="359" w:firstLineChars="171"/>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5</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Njk2NmU4ODlkMGU2Yzk1N2FhZWM1ODAxNDRlMGEifQ=="/>
  </w:docVars>
  <w:rsids>
    <w:rsidRoot w:val="00172A27"/>
    <w:rsid w:val="00000EB8"/>
    <w:rsid w:val="0003523C"/>
    <w:rsid w:val="00051A44"/>
    <w:rsid w:val="00052B15"/>
    <w:rsid w:val="00054C6A"/>
    <w:rsid w:val="00081CBD"/>
    <w:rsid w:val="000976DE"/>
    <w:rsid w:val="000C3346"/>
    <w:rsid w:val="000D4558"/>
    <w:rsid w:val="000D6F7A"/>
    <w:rsid w:val="000F2437"/>
    <w:rsid w:val="00123F94"/>
    <w:rsid w:val="001453C9"/>
    <w:rsid w:val="00151272"/>
    <w:rsid w:val="00153311"/>
    <w:rsid w:val="001809DD"/>
    <w:rsid w:val="00185350"/>
    <w:rsid w:val="001A67CB"/>
    <w:rsid w:val="001B4DF3"/>
    <w:rsid w:val="001C7E18"/>
    <w:rsid w:val="001F04A3"/>
    <w:rsid w:val="001F427D"/>
    <w:rsid w:val="002019AD"/>
    <w:rsid w:val="00210D1A"/>
    <w:rsid w:val="00216232"/>
    <w:rsid w:val="00232530"/>
    <w:rsid w:val="00253624"/>
    <w:rsid w:val="00277872"/>
    <w:rsid w:val="00280A2F"/>
    <w:rsid w:val="002A3DD2"/>
    <w:rsid w:val="002D2906"/>
    <w:rsid w:val="002D7F8A"/>
    <w:rsid w:val="002E0D1D"/>
    <w:rsid w:val="002E7759"/>
    <w:rsid w:val="003026A1"/>
    <w:rsid w:val="003203A3"/>
    <w:rsid w:val="00321192"/>
    <w:rsid w:val="003615F7"/>
    <w:rsid w:val="003650DE"/>
    <w:rsid w:val="00365CBE"/>
    <w:rsid w:val="00377CD4"/>
    <w:rsid w:val="003A0540"/>
    <w:rsid w:val="003A39D0"/>
    <w:rsid w:val="003A7D30"/>
    <w:rsid w:val="003C0A44"/>
    <w:rsid w:val="003C1198"/>
    <w:rsid w:val="003C388C"/>
    <w:rsid w:val="003D09A1"/>
    <w:rsid w:val="003E61BF"/>
    <w:rsid w:val="003E72A7"/>
    <w:rsid w:val="003F120D"/>
    <w:rsid w:val="004104AC"/>
    <w:rsid w:val="00435DDC"/>
    <w:rsid w:val="00445E86"/>
    <w:rsid w:val="00474E04"/>
    <w:rsid w:val="00486E2E"/>
    <w:rsid w:val="00487951"/>
    <w:rsid w:val="004A1C4E"/>
    <w:rsid w:val="004D0C5A"/>
    <w:rsid w:val="004D184C"/>
    <w:rsid w:val="004D1A13"/>
    <w:rsid w:val="004E1396"/>
    <w:rsid w:val="004E3236"/>
    <w:rsid w:val="00510338"/>
    <w:rsid w:val="0053633A"/>
    <w:rsid w:val="005512BE"/>
    <w:rsid w:val="00562714"/>
    <w:rsid w:val="00563EBC"/>
    <w:rsid w:val="0058549D"/>
    <w:rsid w:val="005A3E08"/>
    <w:rsid w:val="005A3F89"/>
    <w:rsid w:val="005A5ED5"/>
    <w:rsid w:val="005D2946"/>
    <w:rsid w:val="005F7BCA"/>
    <w:rsid w:val="006159FA"/>
    <w:rsid w:val="00637D0A"/>
    <w:rsid w:val="006441DB"/>
    <w:rsid w:val="00645D3B"/>
    <w:rsid w:val="0064793E"/>
    <w:rsid w:val="00651A7D"/>
    <w:rsid w:val="006521DD"/>
    <w:rsid w:val="00655714"/>
    <w:rsid w:val="006806FF"/>
    <w:rsid w:val="006901AC"/>
    <w:rsid w:val="00697A6A"/>
    <w:rsid w:val="006C190B"/>
    <w:rsid w:val="006E1171"/>
    <w:rsid w:val="006E229C"/>
    <w:rsid w:val="006E5D80"/>
    <w:rsid w:val="006E6CD5"/>
    <w:rsid w:val="006F0971"/>
    <w:rsid w:val="00703B92"/>
    <w:rsid w:val="00705F36"/>
    <w:rsid w:val="0072192F"/>
    <w:rsid w:val="0072334C"/>
    <w:rsid w:val="00753006"/>
    <w:rsid w:val="007652B6"/>
    <w:rsid w:val="007B2710"/>
    <w:rsid w:val="007E30ED"/>
    <w:rsid w:val="007E5621"/>
    <w:rsid w:val="00855969"/>
    <w:rsid w:val="00860A1D"/>
    <w:rsid w:val="00864FF3"/>
    <w:rsid w:val="00895BEA"/>
    <w:rsid w:val="00896F52"/>
    <w:rsid w:val="008A3497"/>
    <w:rsid w:val="008D6DA1"/>
    <w:rsid w:val="008F3467"/>
    <w:rsid w:val="00905F2C"/>
    <w:rsid w:val="00917A54"/>
    <w:rsid w:val="00936382"/>
    <w:rsid w:val="00947BD6"/>
    <w:rsid w:val="00952D34"/>
    <w:rsid w:val="00953A42"/>
    <w:rsid w:val="00953E64"/>
    <w:rsid w:val="00971477"/>
    <w:rsid w:val="00995564"/>
    <w:rsid w:val="009A0EB5"/>
    <w:rsid w:val="009A6409"/>
    <w:rsid w:val="009B7E27"/>
    <w:rsid w:val="009F24EF"/>
    <w:rsid w:val="009F6714"/>
    <w:rsid w:val="00A40422"/>
    <w:rsid w:val="00A43553"/>
    <w:rsid w:val="00A61812"/>
    <w:rsid w:val="00A7079D"/>
    <w:rsid w:val="00A8267E"/>
    <w:rsid w:val="00A9128D"/>
    <w:rsid w:val="00AC4282"/>
    <w:rsid w:val="00AC5391"/>
    <w:rsid w:val="00AC6C45"/>
    <w:rsid w:val="00AE57C1"/>
    <w:rsid w:val="00AE618D"/>
    <w:rsid w:val="00AE7FD1"/>
    <w:rsid w:val="00AF1091"/>
    <w:rsid w:val="00AF3FD0"/>
    <w:rsid w:val="00B25C70"/>
    <w:rsid w:val="00B34393"/>
    <w:rsid w:val="00B43D82"/>
    <w:rsid w:val="00B64ECC"/>
    <w:rsid w:val="00B83162"/>
    <w:rsid w:val="00BA5521"/>
    <w:rsid w:val="00BA647E"/>
    <w:rsid w:val="00BC290D"/>
    <w:rsid w:val="00BD7B36"/>
    <w:rsid w:val="00BE1C76"/>
    <w:rsid w:val="00BF2B8C"/>
    <w:rsid w:val="00C26074"/>
    <w:rsid w:val="00C460B7"/>
    <w:rsid w:val="00C768B2"/>
    <w:rsid w:val="00C83B0A"/>
    <w:rsid w:val="00CB1E77"/>
    <w:rsid w:val="00CE1E0C"/>
    <w:rsid w:val="00CE277E"/>
    <w:rsid w:val="00CE3ADA"/>
    <w:rsid w:val="00D00F55"/>
    <w:rsid w:val="00D0654D"/>
    <w:rsid w:val="00D41A9C"/>
    <w:rsid w:val="00D50EF2"/>
    <w:rsid w:val="00D56867"/>
    <w:rsid w:val="00D823DF"/>
    <w:rsid w:val="00D97542"/>
    <w:rsid w:val="00DB0670"/>
    <w:rsid w:val="00DE509B"/>
    <w:rsid w:val="00DE616D"/>
    <w:rsid w:val="00E006E8"/>
    <w:rsid w:val="00E02A7F"/>
    <w:rsid w:val="00E07880"/>
    <w:rsid w:val="00E34B37"/>
    <w:rsid w:val="00E64872"/>
    <w:rsid w:val="00E7086B"/>
    <w:rsid w:val="00E7179C"/>
    <w:rsid w:val="00E82621"/>
    <w:rsid w:val="00EB1312"/>
    <w:rsid w:val="00EB3BDC"/>
    <w:rsid w:val="00ED3A18"/>
    <w:rsid w:val="00ED4D6B"/>
    <w:rsid w:val="00EE511E"/>
    <w:rsid w:val="00EF155E"/>
    <w:rsid w:val="00F11366"/>
    <w:rsid w:val="00F135C2"/>
    <w:rsid w:val="00F1798B"/>
    <w:rsid w:val="00F30146"/>
    <w:rsid w:val="00F36A1B"/>
    <w:rsid w:val="00F405DF"/>
    <w:rsid w:val="00F50B5A"/>
    <w:rsid w:val="00F50EC9"/>
    <w:rsid w:val="00F7091A"/>
    <w:rsid w:val="00F77C9A"/>
    <w:rsid w:val="00F84F4D"/>
    <w:rsid w:val="00FA4776"/>
    <w:rsid w:val="00FA4E6D"/>
    <w:rsid w:val="00FA79C3"/>
    <w:rsid w:val="00FB576C"/>
    <w:rsid w:val="00FC19E2"/>
    <w:rsid w:val="00FD2AA6"/>
    <w:rsid w:val="00FE60E8"/>
    <w:rsid w:val="00FE7E8A"/>
    <w:rsid w:val="0AA62D84"/>
    <w:rsid w:val="0F743BFC"/>
    <w:rsid w:val="11D528D6"/>
    <w:rsid w:val="17A6377C"/>
    <w:rsid w:val="1A043570"/>
    <w:rsid w:val="1BCB055F"/>
    <w:rsid w:val="228D4F4F"/>
    <w:rsid w:val="249661B1"/>
    <w:rsid w:val="2A002954"/>
    <w:rsid w:val="2CF26204"/>
    <w:rsid w:val="33CD3FA6"/>
    <w:rsid w:val="38496FB5"/>
    <w:rsid w:val="48120A86"/>
    <w:rsid w:val="490D1192"/>
    <w:rsid w:val="4A2C20E5"/>
    <w:rsid w:val="4AA91919"/>
    <w:rsid w:val="4B745BCF"/>
    <w:rsid w:val="527E115B"/>
    <w:rsid w:val="54E4239E"/>
    <w:rsid w:val="5A7F49FA"/>
    <w:rsid w:val="5ED05ADA"/>
    <w:rsid w:val="6FBC58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9"/>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link w:val="22"/>
    <w:unhideWhenUsed/>
    <w:qFormat/>
    <w:uiPriority w:val="99"/>
    <w:pPr>
      <w:jc w:val="left"/>
    </w:pPr>
  </w:style>
  <w:style w:type="paragraph" w:styleId="4">
    <w:name w:val="Plain Text"/>
    <w:basedOn w:val="1"/>
    <w:link w:val="13"/>
    <w:qFormat/>
    <w:uiPriority w:val="99"/>
    <w:rPr>
      <w:rFonts w:ascii="宋体" w:hAnsi="Courier New"/>
      <w:kern w:val="0"/>
      <w:sz w:val="20"/>
      <w:szCs w:val="20"/>
    </w:rPr>
  </w:style>
  <w:style w:type="paragraph" w:styleId="5">
    <w:name w:val="Balloon Text"/>
    <w:basedOn w:val="1"/>
    <w:link w:val="14"/>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spacing w:before="100" w:beforeAutospacing="1" w:after="100" w:afterAutospacing="1"/>
      <w:jc w:val="left"/>
    </w:pPr>
    <w:rPr>
      <w:rFonts w:ascii="Calibri" w:hAnsi="Calibri"/>
      <w:kern w:val="0"/>
      <w:sz w:val="24"/>
      <w:szCs w:val="22"/>
    </w:rPr>
  </w:style>
  <w:style w:type="character" w:styleId="11">
    <w:name w:val="page number"/>
    <w:qFormat/>
    <w:uiPriority w:val="0"/>
  </w:style>
  <w:style w:type="character" w:styleId="12">
    <w:name w:val="annotation reference"/>
    <w:unhideWhenUsed/>
    <w:qFormat/>
    <w:uiPriority w:val="99"/>
    <w:rPr>
      <w:sz w:val="21"/>
      <w:szCs w:val="21"/>
    </w:rPr>
  </w:style>
  <w:style w:type="character" w:customStyle="1" w:styleId="13">
    <w:name w:val="纯文本 字符"/>
    <w:link w:val="4"/>
    <w:qFormat/>
    <w:locked/>
    <w:uiPriority w:val="99"/>
    <w:rPr>
      <w:rFonts w:ascii="宋体" w:hAnsi="Courier New"/>
    </w:rPr>
  </w:style>
  <w:style w:type="character" w:customStyle="1" w:styleId="14">
    <w:name w:val="批注框文本 字符"/>
    <w:link w:val="5"/>
    <w:semiHidden/>
    <w:qFormat/>
    <w:uiPriority w:val="99"/>
    <w:rPr>
      <w:kern w:val="2"/>
      <w:sz w:val="18"/>
      <w:szCs w:val="18"/>
    </w:rPr>
  </w:style>
  <w:style w:type="character" w:customStyle="1" w:styleId="15">
    <w:name w:val="页脚 字符1"/>
    <w:link w:val="6"/>
    <w:qFormat/>
    <w:uiPriority w:val="99"/>
    <w:rPr>
      <w:kern w:val="2"/>
      <w:sz w:val="18"/>
      <w:szCs w:val="18"/>
    </w:rPr>
  </w:style>
  <w:style w:type="character" w:customStyle="1" w:styleId="16">
    <w:name w:val="页眉 字符"/>
    <w:link w:val="7"/>
    <w:qFormat/>
    <w:uiPriority w:val="99"/>
    <w:rPr>
      <w:kern w:val="2"/>
      <w:sz w:val="18"/>
      <w:szCs w:val="18"/>
    </w:rPr>
  </w:style>
  <w:style w:type="paragraph" w:customStyle="1" w:styleId="17">
    <w:name w:val="列出段落1"/>
    <w:basedOn w:val="1"/>
    <w:qFormat/>
    <w:uiPriority w:val="34"/>
    <w:pPr>
      <w:ind w:firstLine="420" w:firstLineChars="200"/>
    </w:pPr>
    <w:rPr>
      <w:rFonts w:ascii="Calibri" w:hAnsi="Calibri"/>
      <w:szCs w:val="22"/>
    </w:rPr>
  </w:style>
  <w:style w:type="character" w:customStyle="1" w:styleId="18">
    <w:name w:val="页脚 字符"/>
    <w:qFormat/>
    <w:uiPriority w:val="99"/>
    <w:rPr>
      <w:kern w:val="2"/>
      <w:sz w:val="18"/>
      <w:szCs w:val="18"/>
    </w:rPr>
  </w:style>
  <w:style w:type="paragraph" w:customStyle="1" w:styleId="19">
    <w:name w:val="列项·"/>
    <w:uiPriority w:val="99"/>
    <w:pPr>
      <w:tabs>
        <w:tab w:val="left" w:pos="840"/>
      </w:tabs>
      <w:ind w:left="420"/>
      <w:jc w:val="both"/>
    </w:pPr>
    <w:rPr>
      <w:rFonts w:ascii="宋体" w:hAnsi="Times New Roman" w:eastAsia="宋体" w:cs="Times New Roman"/>
      <w:sz w:val="21"/>
      <w:lang w:val="en-US" w:eastAsia="zh-CN" w:bidi="ar-SA"/>
    </w:rPr>
  </w:style>
  <w:style w:type="character" w:customStyle="1" w:styleId="20">
    <w:name w:val="纯文本 字符1"/>
    <w:semiHidden/>
    <w:uiPriority w:val="99"/>
    <w:rPr>
      <w:rFonts w:ascii="宋体" w:hAnsi="Courier New" w:cs="Courier New"/>
      <w:kern w:val="2"/>
      <w:sz w:val="21"/>
      <w:szCs w:val="21"/>
    </w:rPr>
  </w:style>
  <w:style w:type="paragraph" w:customStyle="1" w:styleId="21">
    <w:name w:val="_Style 20"/>
    <w:hidden/>
    <w:unhideWhenUsed/>
    <w:uiPriority w:val="99"/>
    <w:rPr>
      <w:rFonts w:ascii="Times New Roman" w:hAnsi="Times New Roman" w:eastAsia="宋体" w:cs="Times New Roman"/>
      <w:kern w:val="2"/>
      <w:sz w:val="21"/>
      <w:szCs w:val="24"/>
      <w:lang w:val="en-US" w:eastAsia="zh-CN" w:bidi="ar-SA"/>
    </w:rPr>
  </w:style>
  <w:style w:type="character" w:customStyle="1" w:styleId="22">
    <w:name w:val="批注文字 字符"/>
    <w:link w:val="3"/>
    <w:autoRedefine/>
    <w:qFormat/>
    <w:uiPriority w:val="99"/>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728</Words>
  <Characters>4154</Characters>
  <Lines>34</Lines>
  <Paragraphs>9</Paragraphs>
  <TotalTime>2</TotalTime>
  <ScaleCrop>false</ScaleCrop>
  <LinksUpToDate>false</LinksUpToDate>
  <CharactersWithSpaces>4873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2022-05-13T01:23:00Z</dcterms:created>
  <dc:creator>Legend User</dc:creator>
  <cp:lastModifiedBy>zm</cp:lastModifiedBy>
  <cp:lastPrinted>2019-12-05T07:53:00Z</cp:lastPrinted>
  <dcterms:modified xsi:type="dcterms:W3CDTF">2024-05-11T08:36:29Z</dcterms:modified>
  <dc:title>××产品质量监督抽查实施细则</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718534E6EC1143E08D9A459CE9BD9954_13</vt:lpwstr>
  </property>
  <property fmtid="{D5CDD505-2E9C-101B-9397-08002B2CF9AE}" pid="4" name="commondata">
    <vt:lpwstr>eyJoZGlkIjoiY2QyZTZjZWU0YzdjNTM3MGE0OTVhNDgwMTg0YzM4YTgifQ==</vt:lpwstr>
  </property>
</Properties>
</file>