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Times New Roman" w:hAnsi="Times New Roman" w:eastAsia="方正小标宋简体" w:cs="Times New Roman"/>
          <w:color w:val="000000"/>
          <w:sz w:val="32"/>
          <w:szCs w:val="32"/>
        </w:rPr>
      </w:pPr>
      <w:r>
        <w:rPr>
          <w:rFonts w:hint="eastAsia" w:ascii="Times New Roman" w:hAnsi="Times New Roman" w:eastAsia="方正小标宋简体" w:cs="Times New Roman"/>
          <w:color w:val="000000"/>
          <w:sz w:val="32"/>
          <w:szCs w:val="32"/>
        </w:rPr>
        <w:t>辽宁省</w:t>
      </w:r>
      <w:r>
        <w:rPr>
          <w:rFonts w:ascii="Times New Roman" w:hAnsi="Times New Roman" w:eastAsia="方正小标宋简体" w:cs="Times New Roman"/>
          <w:color w:val="000000"/>
          <w:sz w:val="32"/>
          <w:szCs w:val="32"/>
        </w:rPr>
        <w:t>机动车发动机润滑油产品质量监督抽查实施细则</w:t>
      </w:r>
    </w:p>
    <w:p>
      <w:pPr>
        <w:snapToGrid w:val="0"/>
        <w:spacing w:line="360" w:lineRule="auto"/>
        <w:jc w:val="center"/>
        <w:rPr>
          <w:rFonts w:ascii="Times New Roman" w:hAnsi="Times New Roman" w:eastAsia="方正小标宋简体" w:cs="Times New Roman"/>
          <w:sz w:val="32"/>
          <w:szCs w:val="32"/>
        </w:rPr>
      </w:pPr>
    </w:p>
    <w:p>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1 抽样方法</w:t>
      </w:r>
    </w:p>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以随机抽样的方式在被抽样生产者、销售者的待销产品中抽取。</w:t>
      </w:r>
    </w:p>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随机数一般可使用随机数表等方法产生。</w:t>
      </w:r>
    </w:p>
    <w:p>
      <w:pPr>
        <w:spacing w:line="4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每批次产品抽取样品不少于6L，其中1/2作为检验样品，1/2作为备用样品。</w:t>
      </w:r>
    </w:p>
    <w:p>
      <w:pPr>
        <w:spacing w:line="440" w:lineRule="exact"/>
        <w:ind w:firstLine="420" w:firstLineChars="200"/>
        <w:rPr>
          <w:rFonts w:ascii="Times New Roman" w:hAnsi="Times New Roman" w:eastAsia="宋体" w:cs="Times New Roman"/>
          <w:szCs w:val="21"/>
        </w:rPr>
      </w:pPr>
    </w:p>
    <w:p>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tbl>
      <w:tblPr>
        <w:tblStyle w:val="7"/>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778"/>
        <w:gridCol w:w="238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bookmarkStart w:id="2" w:name="_GoBack"/>
            <w:bookmarkEnd w:id="2"/>
            <w:r>
              <w:rPr>
                <w:rFonts w:ascii="Times New Roman" w:hAnsi="Times New Roman" w:eastAsia="宋体" w:cs="Times New Roman"/>
                <w:szCs w:val="21"/>
              </w:rPr>
              <w:t>序号</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检验项目</w:t>
            </w:r>
          </w:p>
        </w:tc>
        <w:tc>
          <w:tcPr>
            <w:tcW w:w="23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检验依据</w:t>
            </w: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低温动力黏度</w:t>
            </w:r>
          </w:p>
        </w:tc>
        <w:tc>
          <w:tcPr>
            <w:tcW w:w="2381" w:type="dxa"/>
            <w:vMerge w:val="restart"/>
            <w:vAlign w:val="center"/>
          </w:tcPr>
          <w:p>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GB 11121</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2006</w:t>
            </w:r>
          </w:p>
          <w:p>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GB 11122</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2006</w:t>
            </w: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6538</w:t>
            </w:r>
            <w:r>
              <w:rPr>
                <w:rFonts w:hint="eastAsia" w:ascii="Times New Roman" w:hAnsi="Times New Roman" w:eastAsia="宋体" w:cs="Times New Roman"/>
                <w:szCs w:val="21"/>
              </w:rPr>
              <w:t>-</w:t>
            </w:r>
            <w:r>
              <w:rPr>
                <w:rFonts w:ascii="Times New Roman" w:hAnsi="Times New Roman" w:eastAsia="宋体" w:cs="Times New Roman"/>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边界泵送温度</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9171</w:t>
            </w:r>
            <w:r>
              <w:rPr>
                <w:rFonts w:hint="eastAsia" w:ascii="Times New Roman" w:hAnsi="Times New Roman" w:eastAsia="宋体" w:cs="Times New Roman"/>
                <w:szCs w:val="21"/>
              </w:rPr>
              <w:t>-</w:t>
            </w:r>
            <w:r>
              <w:rPr>
                <w:rFonts w:ascii="Times New Roman" w:hAnsi="Times New Roman" w:eastAsia="宋体" w:cs="Times New Roman"/>
                <w:szCs w:val="21"/>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低温泵送黏度</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NB/SH/T 0562</w:t>
            </w:r>
            <w:r>
              <w:rPr>
                <w:rFonts w:hint="eastAsia" w:ascii="Times New Roman" w:hAnsi="Times New Roman" w:eastAsia="宋体" w:cs="Times New Roman"/>
                <w:szCs w:val="21"/>
              </w:rPr>
              <w:t>-</w:t>
            </w:r>
            <w:r>
              <w:rPr>
                <w:rFonts w:ascii="Times New Roman" w:hAnsi="Times New Roman" w:eastAsia="宋体" w:cs="Times New Roman"/>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运动黏度（100℃）</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265</w:t>
            </w:r>
            <w:r>
              <w:rPr>
                <w:rFonts w:hint="eastAsia" w:ascii="Times New Roman" w:hAnsi="Times New Roman" w:eastAsia="宋体" w:cs="Times New Roman"/>
                <w:szCs w:val="21"/>
              </w:rPr>
              <w:t>-</w:t>
            </w:r>
            <w:r>
              <w:rPr>
                <w:rFonts w:ascii="Times New Roman" w:hAnsi="Times New Roman" w:eastAsia="宋体" w:cs="Times New Roman"/>
                <w:szCs w:val="21"/>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高温高剪切黏度</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SH/T 0618</w:t>
            </w:r>
            <w:r>
              <w:rPr>
                <w:rFonts w:hint="eastAsia" w:ascii="Times New Roman" w:hAnsi="Times New Roman" w:eastAsia="宋体" w:cs="Times New Roman"/>
                <w:szCs w:val="21"/>
              </w:rPr>
              <w:t>-</w:t>
            </w:r>
            <w:r>
              <w:rPr>
                <w:rFonts w:ascii="Times New Roman" w:hAnsi="Times New Roman" w:eastAsia="宋体" w:cs="Times New Roman"/>
                <w:szCs w:val="21"/>
              </w:rPr>
              <w:t>1995或</w:t>
            </w:r>
          </w:p>
          <w:p>
            <w:pPr>
              <w:jc w:val="center"/>
              <w:rPr>
                <w:rFonts w:ascii="Times New Roman" w:hAnsi="Times New Roman" w:eastAsia="宋体" w:cs="Times New Roman"/>
                <w:szCs w:val="21"/>
              </w:rPr>
            </w:pPr>
            <w:r>
              <w:rPr>
                <w:rFonts w:ascii="Times New Roman" w:hAnsi="Times New Roman" w:eastAsia="宋体" w:cs="Times New Roman"/>
                <w:szCs w:val="21"/>
              </w:rPr>
              <w:t>NB/SH/T 0703</w:t>
            </w:r>
            <w:r>
              <w:rPr>
                <w:rFonts w:hint="eastAsia" w:ascii="Times New Roman" w:hAnsi="Times New Roman" w:eastAsia="宋体" w:cs="Times New Roman"/>
                <w:szCs w:val="21"/>
              </w:rPr>
              <w:t>-</w:t>
            </w:r>
            <w:r>
              <w:rPr>
                <w:rFonts w:ascii="Times New Roman" w:hAnsi="Times New Roman" w:eastAsia="宋体" w:cs="Times New Roman"/>
                <w:szCs w:val="21"/>
              </w:rPr>
              <w:t>2020或</w:t>
            </w:r>
          </w:p>
          <w:p>
            <w:pPr>
              <w:jc w:val="center"/>
              <w:rPr>
                <w:rFonts w:ascii="Times New Roman" w:hAnsi="Times New Roman" w:eastAsia="宋体" w:cs="Times New Roman"/>
                <w:szCs w:val="21"/>
              </w:rPr>
            </w:pPr>
            <w:r>
              <w:rPr>
                <w:rFonts w:ascii="Times New Roman" w:hAnsi="Times New Roman" w:eastAsia="宋体" w:cs="Times New Roman"/>
                <w:szCs w:val="21"/>
              </w:rPr>
              <w:t>SH/T 0751</w:t>
            </w:r>
            <w:r>
              <w:rPr>
                <w:rFonts w:hint="eastAsia" w:ascii="Times New Roman" w:hAnsi="Times New Roman" w:eastAsia="宋体" w:cs="Times New Roman"/>
                <w:szCs w:val="21"/>
              </w:rPr>
              <w:t>-</w:t>
            </w:r>
            <w:r>
              <w:rPr>
                <w:rFonts w:ascii="Times New Roman" w:hAnsi="Times New Roman" w:eastAsia="宋体" w:cs="Times New Roman"/>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黏度指数</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1995</w:t>
            </w:r>
            <w:r>
              <w:rPr>
                <w:rFonts w:hint="eastAsia" w:ascii="Times New Roman" w:hAnsi="Times New Roman" w:eastAsia="宋体" w:cs="Times New Roman"/>
                <w:szCs w:val="21"/>
              </w:rPr>
              <w:t>-</w:t>
            </w:r>
            <w:r>
              <w:rPr>
                <w:rFonts w:ascii="Times New Roman" w:hAnsi="Times New Roman" w:eastAsia="宋体" w:cs="Times New Roman"/>
                <w:szCs w:val="21"/>
              </w:rPr>
              <w:t>1998或</w:t>
            </w:r>
          </w:p>
          <w:p>
            <w:pPr>
              <w:jc w:val="center"/>
              <w:rPr>
                <w:rFonts w:ascii="Times New Roman" w:hAnsi="Times New Roman" w:eastAsia="宋体" w:cs="Times New Roman"/>
                <w:szCs w:val="21"/>
              </w:rPr>
            </w:pPr>
            <w:r>
              <w:rPr>
                <w:rFonts w:ascii="Times New Roman" w:hAnsi="Times New Roman" w:eastAsia="宋体" w:cs="Times New Roman"/>
                <w:szCs w:val="21"/>
              </w:rPr>
              <w:t>GB/T 2541</w:t>
            </w:r>
            <w:r>
              <w:rPr>
                <w:rFonts w:hint="eastAsia" w:ascii="Times New Roman" w:hAnsi="Times New Roman" w:eastAsia="宋体" w:cs="Times New Roman"/>
                <w:szCs w:val="21"/>
              </w:rPr>
              <w:t>-</w:t>
            </w:r>
            <w:r>
              <w:rPr>
                <w:rFonts w:ascii="Times New Roman" w:hAnsi="Times New Roman" w:eastAsia="宋体" w:cs="Times New Roman"/>
                <w:szCs w:val="21"/>
              </w:rPr>
              <w:t>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倾点</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3535</w:t>
            </w:r>
            <w:r>
              <w:rPr>
                <w:rFonts w:hint="eastAsia" w:ascii="Times New Roman" w:hAnsi="Times New Roman" w:eastAsia="宋体" w:cs="Times New Roman"/>
                <w:szCs w:val="21"/>
              </w:rPr>
              <w:t>-</w:t>
            </w:r>
            <w:r>
              <w:rPr>
                <w:rFonts w:ascii="Times New Roman" w:hAnsi="Times New Roman" w:eastAsia="宋体" w:cs="Times New Roman"/>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水分</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260</w:t>
            </w:r>
            <w:r>
              <w:rPr>
                <w:rFonts w:hint="eastAsia" w:ascii="Times New Roman" w:hAnsi="Times New Roman" w:eastAsia="宋体" w:cs="Times New Roman"/>
                <w:szCs w:val="21"/>
              </w:rPr>
              <w:t>-</w:t>
            </w:r>
            <w:r>
              <w:rPr>
                <w:rFonts w:ascii="Times New Roman" w:hAnsi="Times New Roman" w:eastAsia="宋体"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泡沫性</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12579</w:t>
            </w:r>
            <w:r>
              <w:rPr>
                <w:rFonts w:hint="eastAsia" w:ascii="Times New Roman" w:hAnsi="Times New Roman" w:eastAsia="宋体" w:cs="Times New Roman"/>
                <w:szCs w:val="21"/>
              </w:rPr>
              <w:t>-</w:t>
            </w:r>
            <w:r>
              <w:rPr>
                <w:rFonts w:ascii="Times New Roman" w:hAnsi="Times New Roman" w:eastAsia="宋体" w:cs="Times New Roman"/>
                <w:szCs w:val="21"/>
              </w:rPr>
              <w:t>2002</w:t>
            </w:r>
          </w:p>
          <w:p>
            <w:pPr>
              <w:jc w:val="center"/>
              <w:rPr>
                <w:rFonts w:ascii="Times New Roman" w:hAnsi="Times New Roman" w:eastAsia="宋体" w:cs="Times New Roman"/>
                <w:szCs w:val="21"/>
              </w:rPr>
            </w:pPr>
            <w:r>
              <w:rPr>
                <w:rFonts w:ascii="Times New Roman" w:hAnsi="Times New Roman" w:eastAsia="宋体" w:cs="Times New Roman"/>
                <w:szCs w:val="21"/>
              </w:rPr>
              <w:t>SH/T 0722</w:t>
            </w:r>
            <w:r>
              <w:rPr>
                <w:rFonts w:hint="eastAsia" w:ascii="Times New Roman" w:hAnsi="Times New Roman" w:eastAsia="宋体" w:cs="Times New Roman"/>
                <w:szCs w:val="21"/>
              </w:rPr>
              <w:t>-</w:t>
            </w:r>
            <w:r>
              <w:rPr>
                <w:rFonts w:ascii="Times New Roman" w:hAnsi="Times New Roman" w:eastAsia="宋体" w:cs="Times New Roman"/>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蒸发损失</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NB/SH/T 0059</w:t>
            </w:r>
            <w:r>
              <w:rPr>
                <w:rFonts w:hint="eastAsia" w:ascii="Times New Roman" w:hAnsi="Times New Roman" w:eastAsia="宋体" w:cs="Times New Roman"/>
                <w:szCs w:val="21"/>
              </w:rPr>
              <w:t>-</w:t>
            </w:r>
            <w:r>
              <w:rPr>
                <w:rFonts w:ascii="Times New Roman" w:hAnsi="Times New Roman" w:eastAsia="宋体" w:cs="Times New Roman"/>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11</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机械杂质</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511</w:t>
            </w:r>
            <w:r>
              <w:rPr>
                <w:rFonts w:hint="eastAsia" w:ascii="Times New Roman" w:hAnsi="Times New Roman" w:eastAsia="宋体" w:cs="Times New Roman"/>
                <w:szCs w:val="21"/>
              </w:rPr>
              <w:t>-</w:t>
            </w:r>
            <w:r>
              <w:rPr>
                <w:rFonts w:ascii="Times New Roman" w:hAnsi="Times New Roman" w:eastAsia="宋体" w:cs="Times New Roman"/>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12</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闪点（开口）</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3536</w:t>
            </w:r>
            <w:r>
              <w:rPr>
                <w:rFonts w:hint="eastAsia" w:ascii="Times New Roman" w:hAnsi="Times New Roman" w:eastAsia="宋体" w:cs="Times New Roman"/>
                <w:szCs w:val="21"/>
              </w:rPr>
              <w:t>-</w:t>
            </w:r>
            <w:r>
              <w:rPr>
                <w:rFonts w:ascii="Times New Roman" w:hAnsi="Times New Roman" w:eastAsia="宋体" w:cs="Times New Roman"/>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7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13</w:t>
            </w:r>
          </w:p>
        </w:tc>
        <w:tc>
          <w:tcPr>
            <w:tcW w:w="27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磷</w:t>
            </w:r>
          </w:p>
        </w:tc>
        <w:tc>
          <w:tcPr>
            <w:tcW w:w="2381" w:type="dxa"/>
            <w:vMerge w:val="continue"/>
            <w:vAlign w:val="center"/>
          </w:tcPr>
          <w:p>
            <w:pPr>
              <w:jc w:val="center"/>
              <w:rPr>
                <w:rFonts w:ascii="Times New Roman" w:hAnsi="Times New Roman" w:eastAsia="宋体" w:cs="Times New Roman"/>
                <w:szCs w:val="21"/>
              </w:rPr>
            </w:pPr>
          </w:p>
        </w:tc>
        <w:tc>
          <w:tcPr>
            <w:tcW w:w="28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GB/T 17476</w:t>
            </w:r>
            <w:r>
              <w:rPr>
                <w:rFonts w:hint="eastAsia" w:ascii="Times New Roman" w:hAnsi="Times New Roman" w:eastAsia="宋体" w:cs="Times New Roman"/>
                <w:szCs w:val="21"/>
              </w:rPr>
              <w:t>-</w:t>
            </w:r>
            <w:r>
              <w:rPr>
                <w:rFonts w:ascii="Times New Roman" w:hAnsi="Times New Roman" w:eastAsia="宋体" w:cs="Times New Roman"/>
                <w:szCs w:val="21"/>
              </w:rPr>
              <w:t>2023或</w:t>
            </w:r>
          </w:p>
          <w:p>
            <w:pPr>
              <w:jc w:val="center"/>
              <w:rPr>
                <w:rFonts w:ascii="Times New Roman" w:hAnsi="Times New Roman" w:eastAsia="宋体" w:cs="Times New Roman"/>
                <w:szCs w:val="21"/>
              </w:rPr>
            </w:pPr>
            <w:r>
              <w:rPr>
                <w:rFonts w:ascii="Times New Roman" w:hAnsi="Times New Roman" w:eastAsia="宋体" w:cs="Times New Roman"/>
                <w:szCs w:val="21"/>
              </w:rPr>
              <w:t>SH/T 0631</w:t>
            </w:r>
            <w:r>
              <w:rPr>
                <w:rFonts w:hint="eastAsia" w:ascii="Times New Roman" w:hAnsi="Times New Roman" w:eastAsia="宋体" w:cs="Times New Roman"/>
                <w:szCs w:val="21"/>
              </w:rPr>
              <w:t>-</w:t>
            </w:r>
            <w:r>
              <w:rPr>
                <w:rFonts w:ascii="Times New Roman" w:hAnsi="Times New Roman" w:eastAsia="宋体" w:cs="Times New Roman"/>
                <w:szCs w:val="21"/>
              </w:rPr>
              <w:t>1996或</w:t>
            </w:r>
          </w:p>
          <w:p>
            <w:pPr>
              <w:jc w:val="center"/>
              <w:rPr>
                <w:rFonts w:ascii="Times New Roman" w:hAnsi="Times New Roman" w:eastAsia="宋体" w:cs="Times New Roman"/>
                <w:szCs w:val="21"/>
              </w:rPr>
            </w:pPr>
            <w:r>
              <w:rPr>
                <w:rFonts w:ascii="Times New Roman" w:hAnsi="Times New Roman" w:eastAsia="宋体" w:cs="Times New Roman"/>
                <w:szCs w:val="21"/>
              </w:rPr>
              <w:t>SH/T 0749</w:t>
            </w:r>
            <w:r>
              <w:rPr>
                <w:rFonts w:hint="eastAsia" w:ascii="Times New Roman" w:hAnsi="Times New Roman" w:eastAsia="宋体" w:cs="Times New Roman"/>
                <w:szCs w:val="21"/>
              </w:rPr>
              <w:t>-</w:t>
            </w:r>
            <w:r>
              <w:rPr>
                <w:rFonts w:ascii="Times New Roman" w:hAnsi="Times New Roman" w:eastAsia="宋体" w:cs="Times New Roman"/>
                <w:szCs w:val="21"/>
              </w:rPr>
              <w:t>2004或</w:t>
            </w:r>
          </w:p>
          <w:p>
            <w:pPr>
              <w:jc w:val="center"/>
              <w:rPr>
                <w:rFonts w:ascii="Times New Roman" w:hAnsi="Times New Roman" w:eastAsia="宋体" w:cs="Times New Roman"/>
                <w:szCs w:val="21"/>
              </w:rPr>
            </w:pPr>
            <w:r>
              <w:rPr>
                <w:rFonts w:ascii="Times New Roman" w:hAnsi="Times New Roman" w:eastAsia="宋体" w:cs="Times New Roman"/>
                <w:szCs w:val="21"/>
              </w:rPr>
              <w:t>SH/T 0296</w:t>
            </w:r>
            <w:r>
              <w:rPr>
                <w:rFonts w:hint="eastAsia" w:ascii="Times New Roman" w:hAnsi="Times New Roman" w:eastAsia="宋体" w:cs="Times New Roman"/>
                <w:szCs w:val="21"/>
              </w:rPr>
              <w:t>-</w:t>
            </w:r>
            <w:r>
              <w:rPr>
                <w:rFonts w:ascii="Times New Roman" w:hAnsi="Times New Roman" w:eastAsia="宋体" w:cs="Times New Roman"/>
                <w:szCs w:val="21"/>
              </w:rPr>
              <w:t>1992</w:t>
            </w:r>
          </w:p>
        </w:tc>
      </w:tr>
    </w:tbl>
    <w:p>
      <w:pPr>
        <w:widowControl/>
        <w:adjustRightInd w:val="0"/>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执行企业标准、团体标准、地方标准的产品，检验项目参照上述内容执行。</w:t>
      </w:r>
    </w:p>
    <w:p>
      <w:pPr>
        <w:widowControl/>
        <w:adjustRightInd w:val="0"/>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凡是注日期的文件，其随后所有的修改单（不包括勘误的内容）或修订版不适用于本细则。凡是不注日期的文件，其最新版本适用于本细则。</w:t>
      </w:r>
    </w:p>
    <w:p>
      <w:pPr>
        <w:widowControl/>
        <w:adjustRightInd w:val="0"/>
        <w:spacing w:line="440" w:lineRule="exact"/>
        <w:ind w:firstLine="420" w:firstLineChars="200"/>
        <w:rPr>
          <w:rFonts w:ascii="Times New Roman" w:hAnsi="Times New Roman" w:eastAsia="黑体" w:cs="Times New Roman"/>
          <w:color w:val="000000"/>
          <w:szCs w:val="21"/>
        </w:rPr>
      </w:pPr>
    </w:p>
    <w:p>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spacing w:line="440" w:lineRule="exact"/>
        <w:rPr>
          <w:rFonts w:ascii="Times New Roman" w:hAnsi="Times New Roman" w:eastAsia="宋体" w:cs="Times New Roman"/>
          <w:color w:val="000000"/>
          <w:szCs w:val="21"/>
        </w:rPr>
      </w:pPr>
      <w:r>
        <w:rPr>
          <w:rFonts w:ascii="Times New Roman" w:hAnsi="Times New Roman" w:eastAsia="宋体" w:cs="Times New Roman"/>
          <w:color w:val="000000"/>
          <w:szCs w:val="21"/>
        </w:rPr>
        <w:t>3.1依据标准</w:t>
      </w:r>
    </w:p>
    <w:p>
      <w:pPr>
        <w:spacing w:line="440" w:lineRule="exact"/>
        <w:ind w:firstLine="420" w:firstLineChars="200"/>
        <w:rPr>
          <w:rFonts w:ascii="Times New Roman" w:hAnsi="Times New Roman" w:eastAsia="宋体" w:cs="Times New Roman"/>
          <w:color w:val="000000"/>
          <w:szCs w:val="21"/>
        </w:rPr>
      </w:pPr>
      <w:bookmarkStart w:id="0" w:name="_Hlk32567754"/>
      <w:r>
        <w:rPr>
          <w:rFonts w:ascii="Times New Roman" w:hAnsi="Times New Roman" w:eastAsia="宋体" w:cs="Times New Roman"/>
          <w:color w:val="000000"/>
          <w:szCs w:val="21"/>
        </w:rPr>
        <w:t>GB 11121</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 xml:space="preserve">2006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汽油机油</w:t>
      </w:r>
    </w:p>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GB 11122</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 xml:space="preserve">2006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柴油机油</w:t>
      </w:r>
    </w:p>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现行有效的企业标准、团体标准、地方标准及产品明示质量要求</w:t>
      </w:r>
    </w:p>
    <w:bookmarkEnd w:id="0"/>
    <w:p>
      <w:pPr>
        <w:spacing w:line="440" w:lineRule="exact"/>
        <w:rPr>
          <w:rFonts w:ascii="Times New Roman" w:hAnsi="Times New Roman" w:eastAsia="宋体" w:cs="Times New Roman"/>
          <w:color w:val="000000"/>
          <w:szCs w:val="21"/>
        </w:rPr>
      </w:pPr>
      <w:r>
        <w:rPr>
          <w:rFonts w:ascii="Times New Roman" w:hAnsi="Times New Roman" w:eastAsia="宋体" w:cs="Times New Roman"/>
          <w:color w:val="000000"/>
          <w:szCs w:val="21"/>
        </w:rPr>
        <w:t>3.2判定原则</w:t>
      </w:r>
    </w:p>
    <w:p>
      <w:pPr>
        <w:spacing w:line="440" w:lineRule="exact"/>
        <w:ind w:firstLine="420" w:firstLineChars="200"/>
        <w:rPr>
          <w:rFonts w:ascii="Times New Roman" w:hAnsi="Times New Roman" w:eastAsia="宋体" w:cs="Times New Roman"/>
          <w:color w:val="000000"/>
          <w:szCs w:val="21"/>
        </w:rPr>
      </w:pPr>
      <w:bookmarkStart w:id="1" w:name="_Hlk33514746"/>
      <w:r>
        <w:rPr>
          <w:rFonts w:ascii="Times New Roman" w:hAnsi="Times New Roman" w:eastAsia="宋体" w:cs="Times New Roman"/>
          <w:color w:val="000000"/>
          <w:szCs w:val="21"/>
        </w:rPr>
        <w:t>经检验，检验项目全部合格，判定为被抽查产品所检项目未发现不合格；检验项目中任一项或一项以上不合格，</w:t>
      </w:r>
      <w:r>
        <w:rPr>
          <w:rFonts w:ascii="Times New Roman" w:hAnsi="Times New Roman" w:eastAsia="宋体" w:cs="Times New Roman"/>
          <w:szCs w:val="21"/>
        </w:rPr>
        <w:t>判定为被抽查产品不合格</w:t>
      </w:r>
      <w:r>
        <w:rPr>
          <w:rFonts w:ascii="Times New Roman" w:hAnsi="Times New Roman" w:eastAsia="宋体" w:cs="Times New Roman"/>
          <w:color w:val="000000"/>
          <w:szCs w:val="21"/>
        </w:rPr>
        <w:t>。</w:t>
      </w:r>
    </w:p>
    <w:p>
      <w:pPr>
        <w:spacing w:line="440" w:lineRule="exact"/>
        <w:ind w:firstLine="417" w:firstLineChars="199"/>
        <w:rPr>
          <w:rFonts w:ascii="Times New Roman" w:hAnsi="Times New Roman" w:eastAsia="宋体" w:cs="Times New Roman"/>
          <w:color w:val="000000"/>
          <w:szCs w:val="21"/>
        </w:rPr>
      </w:pPr>
      <w:r>
        <w:rPr>
          <w:rFonts w:ascii="Times New Roman" w:hAnsi="Times New Roman" w:eastAsia="宋体" w:cs="Times New Roman"/>
          <w:color w:val="000000"/>
          <w:szCs w:val="21"/>
        </w:rPr>
        <w:t>若被检产品明示的质量要求高于本细则中检验项目依据的标准要求时，应按被检产品明示的质量要求判定。</w:t>
      </w:r>
    </w:p>
    <w:p>
      <w:pPr>
        <w:spacing w:line="440" w:lineRule="exact"/>
        <w:ind w:firstLine="417" w:firstLineChars="199"/>
        <w:rPr>
          <w:rFonts w:ascii="Times New Roman" w:hAnsi="Times New Roman" w:eastAsia="宋体" w:cs="Times New Roman"/>
          <w:color w:val="000000"/>
          <w:szCs w:val="21"/>
        </w:rPr>
      </w:pPr>
      <w:r>
        <w:rPr>
          <w:rFonts w:ascii="Times New Roman" w:hAnsi="Times New Roman" w:eastAsia="宋体" w:cs="Times New Roman"/>
          <w:color w:val="000000"/>
          <w:szCs w:val="21"/>
        </w:rPr>
        <w:t>若被检产品明示的质量要求低于本细则中检验项目依据的强制性标准要求时，应按照强制性标准要求判定。</w:t>
      </w:r>
    </w:p>
    <w:p>
      <w:pPr>
        <w:spacing w:line="440" w:lineRule="exact"/>
        <w:ind w:firstLine="417" w:firstLineChars="199"/>
        <w:rPr>
          <w:rFonts w:ascii="Times New Roman" w:hAnsi="Times New Roman" w:eastAsia="宋体" w:cs="Times New Roman"/>
          <w:color w:val="000000"/>
          <w:szCs w:val="21"/>
        </w:rPr>
      </w:pPr>
      <w:r>
        <w:rPr>
          <w:rFonts w:ascii="Times New Roman" w:hAnsi="Times New Roman" w:eastAsia="宋体" w:cs="Times New Roman"/>
          <w:color w:val="000000"/>
          <w:szCs w:val="21"/>
        </w:rPr>
        <w:t>若被检产品明示的质量要求低于或包含本细则中检验项目依据的推荐性标准要求时，应以被检产品明示的质量要求判定。</w:t>
      </w:r>
    </w:p>
    <w:p>
      <w:pPr>
        <w:spacing w:line="440" w:lineRule="exact"/>
        <w:ind w:firstLine="417" w:firstLineChars="199"/>
        <w:rPr>
          <w:rFonts w:ascii="Times New Roman" w:hAnsi="Times New Roman" w:eastAsia="宋体" w:cs="Times New Roman"/>
          <w:color w:val="000000"/>
          <w:szCs w:val="21"/>
        </w:rPr>
      </w:pPr>
      <w:r>
        <w:rPr>
          <w:rFonts w:ascii="Times New Roman" w:hAnsi="Times New Roman" w:eastAsia="宋体" w:cs="Times New Roman"/>
          <w:color w:val="000000"/>
          <w:szCs w:val="21"/>
        </w:rPr>
        <w:t>若被检产品明示的质量要求缺少本细则中检验项目依据的强制性标准要求时，应按照强制性标准要求判定。</w:t>
      </w:r>
    </w:p>
    <w:p>
      <w:pPr>
        <w:spacing w:line="440" w:lineRule="exact"/>
        <w:ind w:firstLine="417" w:firstLineChars="199"/>
        <w:rPr>
          <w:rFonts w:ascii="Times New Roman" w:hAnsi="Times New Roman" w:cs="Times New Roman"/>
          <w:color w:val="000000"/>
          <w:szCs w:val="21"/>
        </w:rPr>
      </w:pPr>
      <w:r>
        <w:rPr>
          <w:rFonts w:ascii="Times New Roman" w:hAnsi="Times New Roman" w:eastAsia="宋体" w:cs="Times New Roman"/>
          <w:color w:val="000000"/>
          <w:szCs w:val="21"/>
        </w:rPr>
        <w:t>若被检产品明示的质量要求缺少本细则中检验项目依据的推荐性标准要求时，该项目不参与判定。</w:t>
      </w:r>
    </w:p>
    <w:bookmarkEnd w:id="1"/>
    <w:p>
      <w:pPr>
        <w:shd w:val="clear" w:color="auto" w:fill="FFFFFF"/>
        <w:spacing w:line="480" w:lineRule="atLeast"/>
        <w:rPr>
          <w:rFonts w:ascii="Times New Roman" w:hAnsi="Times New Roman" w:eastAsia="宋体" w:cs="Times New Roman"/>
          <w:color w:val="000000"/>
          <w:szCs w:val="21"/>
        </w:rPr>
      </w:pPr>
    </w:p>
    <w:sectPr>
      <w:footerReference r:id="rId3"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bordersDoNotSurroundHeader w:val="true"/>
  <w:bordersDoNotSurroundFooter w:val="true"/>
  <w:documentProtection w:enforcement="0"/>
  <w:defaultTabStop w:val="420"/>
  <w:drawingGridHorizontalSpacing w:val="105"/>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zMGUwZjQzNmU5NGU3YzMwMmYxYWYyNzllYWRiZWQifQ=="/>
  </w:docVars>
  <w:rsids>
    <w:rsidRoot w:val="00172A27"/>
    <w:rsid w:val="00051A44"/>
    <w:rsid w:val="0008099D"/>
    <w:rsid w:val="00081CBD"/>
    <w:rsid w:val="000976DE"/>
    <w:rsid w:val="000A5F22"/>
    <w:rsid w:val="000B5F1F"/>
    <w:rsid w:val="000D7B46"/>
    <w:rsid w:val="001106BC"/>
    <w:rsid w:val="00143B76"/>
    <w:rsid w:val="00146C03"/>
    <w:rsid w:val="00170850"/>
    <w:rsid w:val="00171854"/>
    <w:rsid w:val="00172A27"/>
    <w:rsid w:val="001809DD"/>
    <w:rsid w:val="00181732"/>
    <w:rsid w:val="001C767E"/>
    <w:rsid w:val="001D7328"/>
    <w:rsid w:val="001E3F0B"/>
    <w:rsid w:val="001F213F"/>
    <w:rsid w:val="001F403D"/>
    <w:rsid w:val="001F4263"/>
    <w:rsid w:val="001F53BB"/>
    <w:rsid w:val="002506B8"/>
    <w:rsid w:val="00253624"/>
    <w:rsid w:val="002A6D41"/>
    <w:rsid w:val="002D7F8A"/>
    <w:rsid w:val="002E0574"/>
    <w:rsid w:val="002E0D1D"/>
    <w:rsid w:val="002E0ED1"/>
    <w:rsid w:val="003203A3"/>
    <w:rsid w:val="00325881"/>
    <w:rsid w:val="00333F49"/>
    <w:rsid w:val="003358F7"/>
    <w:rsid w:val="00391B96"/>
    <w:rsid w:val="003A4007"/>
    <w:rsid w:val="003A7E00"/>
    <w:rsid w:val="003C388C"/>
    <w:rsid w:val="003D26CC"/>
    <w:rsid w:val="003E61BF"/>
    <w:rsid w:val="00412192"/>
    <w:rsid w:val="00413924"/>
    <w:rsid w:val="004167D2"/>
    <w:rsid w:val="004441A8"/>
    <w:rsid w:val="00445810"/>
    <w:rsid w:val="00445E86"/>
    <w:rsid w:val="00474E04"/>
    <w:rsid w:val="00475C6D"/>
    <w:rsid w:val="004A6376"/>
    <w:rsid w:val="004B79B3"/>
    <w:rsid w:val="004C5CBC"/>
    <w:rsid w:val="004D0C5A"/>
    <w:rsid w:val="004E1396"/>
    <w:rsid w:val="005029C8"/>
    <w:rsid w:val="005138E4"/>
    <w:rsid w:val="00517CC3"/>
    <w:rsid w:val="005213B8"/>
    <w:rsid w:val="00532383"/>
    <w:rsid w:val="005438F0"/>
    <w:rsid w:val="00563EBC"/>
    <w:rsid w:val="0058049D"/>
    <w:rsid w:val="005A64E2"/>
    <w:rsid w:val="005B5A8F"/>
    <w:rsid w:val="005E4B7A"/>
    <w:rsid w:val="00605013"/>
    <w:rsid w:val="00610158"/>
    <w:rsid w:val="0061027D"/>
    <w:rsid w:val="00617EEB"/>
    <w:rsid w:val="00621319"/>
    <w:rsid w:val="0063117D"/>
    <w:rsid w:val="0063518D"/>
    <w:rsid w:val="00652CBC"/>
    <w:rsid w:val="006603E7"/>
    <w:rsid w:val="0068276D"/>
    <w:rsid w:val="00695B38"/>
    <w:rsid w:val="006B2ED2"/>
    <w:rsid w:val="006E1171"/>
    <w:rsid w:val="006F0971"/>
    <w:rsid w:val="006F27CC"/>
    <w:rsid w:val="006F5628"/>
    <w:rsid w:val="006F7CCC"/>
    <w:rsid w:val="0072334C"/>
    <w:rsid w:val="007250A4"/>
    <w:rsid w:val="00760E9F"/>
    <w:rsid w:val="00766EBC"/>
    <w:rsid w:val="00777C1B"/>
    <w:rsid w:val="007A029D"/>
    <w:rsid w:val="007A7169"/>
    <w:rsid w:val="007A7200"/>
    <w:rsid w:val="007C2E6A"/>
    <w:rsid w:val="007C5F12"/>
    <w:rsid w:val="00841DAD"/>
    <w:rsid w:val="00895BEA"/>
    <w:rsid w:val="008A3497"/>
    <w:rsid w:val="008C20FA"/>
    <w:rsid w:val="008C3647"/>
    <w:rsid w:val="008C613B"/>
    <w:rsid w:val="008D6FA1"/>
    <w:rsid w:val="008E7985"/>
    <w:rsid w:val="0090022C"/>
    <w:rsid w:val="0090493F"/>
    <w:rsid w:val="00917A30"/>
    <w:rsid w:val="00917A54"/>
    <w:rsid w:val="0095769F"/>
    <w:rsid w:val="0096024D"/>
    <w:rsid w:val="00962774"/>
    <w:rsid w:val="009706F2"/>
    <w:rsid w:val="00973305"/>
    <w:rsid w:val="0098353F"/>
    <w:rsid w:val="009955AE"/>
    <w:rsid w:val="009B6D39"/>
    <w:rsid w:val="009F0B23"/>
    <w:rsid w:val="00A16D36"/>
    <w:rsid w:val="00A36E43"/>
    <w:rsid w:val="00A43553"/>
    <w:rsid w:val="00A4441E"/>
    <w:rsid w:val="00A67106"/>
    <w:rsid w:val="00A70A0E"/>
    <w:rsid w:val="00AC1295"/>
    <w:rsid w:val="00AC6734"/>
    <w:rsid w:val="00AF1751"/>
    <w:rsid w:val="00B02932"/>
    <w:rsid w:val="00B05A9F"/>
    <w:rsid w:val="00B14BE8"/>
    <w:rsid w:val="00B362C0"/>
    <w:rsid w:val="00B63617"/>
    <w:rsid w:val="00B656CC"/>
    <w:rsid w:val="00B661C1"/>
    <w:rsid w:val="00B9651C"/>
    <w:rsid w:val="00BA7BA7"/>
    <w:rsid w:val="00BC4FA6"/>
    <w:rsid w:val="00BF2B8C"/>
    <w:rsid w:val="00BF3D33"/>
    <w:rsid w:val="00C016B1"/>
    <w:rsid w:val="00C26074"/>
    <w:rsid w:val="00C660AE"/>
    <w:rsid w:val="00C6738A"/>
    <w:rsid w:val="00C83B0A"/>
    <w:rsid w:val="00CB4149"/>
    <w:rsid w:val="00CC513F"/>
    <w:rsid w:val="00CC69E4"/>
    <w:rsid w:val="00CD1D2A"/>
    <w:rsid w:val="00CE1E0C"/>
    <w:rsid w:val="00CE277E"/>
    <w:rsid w:val="00D16E10"/>
    <w:rsid w:val="00D219DE"/>
    <w:rsid w:val="00D35B0F"/>
    <w:rsid w:val="00D50E31"/>
    <w:rsid w:val="00D56867"/>
    <w:rsid w:val="00D73F28"/>
    <w:rsid w:val="00D807E9"/>
    <w:rsid w:val="00D81051"/>
    <w:rsid w:val="00DA697A"/>
    <w:rsid w:val="00DC02CC"/>
    <w:rsid w:val="00DD1BBE"/>
    <w:rsid w:val="00DD3D1B"/>
    <w:rsid w:val="00DE1949"/>
    <w:rsid w:val="00E02A7F"/>
    <w:rsid w:val="00E057AE"/>
    <w:rsid w:val="00E07880"/>
    <w:rsid w:val="00E33821"/>
    <w:rsid w:val="00E44321"/>
    <w:rsid w:val="00E734CF"/>
    <w:rsid w:val="00E809EC"/>
    <w:rsid w:val="00E82621"/>
    <w:rsid w:val="00E8350D"/>
    <w:rsid w:val="00E87FAC"/>
    <w:rsid w:val="00E92CD8"/>
    <w:rsid w:val="00E94B23"/>
    <w:rsid w:val="00EB2852"/>
    <w:rsid w:val="00EC6EFE"/>
    <w:rsid w:val="00EF0881"/>
    <w:rsid w:val="00F14804"/>
    <w:rsid w:val="00F5020C"/>
    <w:rsid w:val="00F77C9A"/>
    <w:rsid w:val="00F9194C"/>
    <w:rsid w:val="00FA577F"/>
    <w:rsid w:val="00FB576C"/>
    <w:rsid w:val="00FD03A4"/>
    <w:rsid w:val="00FD2AA6"/>
    <w:rsid w:val="00FE4400"/>
    <w:rsid w:val="00FE7E8A"/>
    <w:rsid w:val="02F72AEC"/>
    <w:rsid w:val="04BE40B7"/>
    <w:rsid w:val="05982F1A"/>
    <w:rsid w:val="06420522"/>
    <w:rsid w:val="080F2078"/>
    <w:rsid w:val="086F27BC"/>
    <w:rsid w:val="099F4902"/>
    <w:rsid w:val="0E234566"/>
    <w:rsid w:val="154F44FB"/>
    <w:rsid w:val="17840BF8"/>
    <w:rsid w:val="179A0D2C"/>
    <w:rsid w:val="183D2675"/>
    <w:rsid w:val="190B6DE1"/>
    <w:rsid w:val="19162A86"/>
    <w:rsid w:val="1A240631"/>
    <w:rsid w:val="1C986C96"/>
    <w:rsid w:val="213B12F3"/>
    <w:rsid w:val="29C91EE9"/>
    <w:rsid w:val="2CE20760"/>
    <w:rsid w:val="2EFB787C"/>
    <w:rsid w:val="305C4943"/>
    <w:rsid w:val="3137047A"/>
    <w:rsid w:val="38072860"/>
    <w:rsid w:val="3F80563C"/>
    <w:rsid w:val="416845DA"/>
    <w:rsid w:val="41B32F1C"/>
    <w:rsid w:val="41BC3268"/>
    <w:rsid w:val="47A95A72"/>
    <w:rsid w:val="4C0D0F29"/>
    <w:rsid w:val="50014DC7"/>
    <w:rsid w:val="5168201D"/>
    <w:rsid w:val="5544469C"/>
    <w:rsid w:val="57161C41"/>
    <w:rsid w:val="5BF5614E"/>
    <w:rsid w:val="5C9D5271"/>
    <w:rsid w:val="6169332C"/>
    <w:rsid w:val="6223045D"/>
    <w:rsid w:val="63262489"/>
    <w:rsid w:val="64FB20DA"/>
    <w:rsid w:val="6718662D"/>
    <w:rsid w:val="676E5270"/>
    <w:rsid w:val="6B05757B"/>
    <w:rsid w:val="6DB05E1A"/>
    <w:rsid w:val="71C1726B"/>
    <w:rsid w:val="74F745B5"/>
    <w:rsid w:val="761551FF"/>
    <w:rsid w:val="76544FD4"/>
    <w:rsid w:val="769E569A"/>
    <w:rsid w:val="772E7150"/>
    <w:rsid w:val="78692E0F"/>
    <w:rsid w:val="793D62F0"/>
    <w:rsid w:val="7AFEF014"/>
    <w:rsid w:val="7C014E34"/>
    <w:rsid w:val="7E944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 w:eastAsia="仿宋_GB2312" w:cs="方正仿宋简体"/>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rPr>
      <w:rFonts w:cs="Times New Roman"/>
    </w:rPr>
  </w:style>
  <w:style w:type="paragraph" w:styleId="3">
    <w:name w:val="Balloon Text"/>
    <w:basedOn w:val="1"/>
    <w:link w:val="16"/>
    <w:unhideWhenUsed/>
    <w:qFormat/>
    <w:uiPriority w:val="99"/>
    <w:rPr>
      <w:rFonts w:cs="Times New Roman"/>
      <w:sz w:val="18"/>
      <w:szCs w:val="18"/>
    </w:rPr>
  </w:style>
  <w:style w:type="paragraph" w:styleId="4">
    <w:name w:val="footer"/>
    <w:basedOn w:val="1"/>
    <w:link w:val="14"/>
    <w:unhideWhenUsed/>
    <w:qFormat/>
    <w:uiPriority w:val="99"/>
    <w:pPr>
      <w:tabs>
        <w:tab w:val="center" w:pos="4153"/>
        <w:tab w:val="right" w:pos="8306"/>
      </w:tabs>
      <w:snapToGrid w:val="0"/>
      <w:jc w:val="left"/>
    </w:pPr>
    <w:rPr>
      <w:rFonts w:cs="Times New Roman"/>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6">
    <w:name w:val="annotation subject"/>
    <w:basedOn w:val="2"/>
    <w:next w:val="2"/>
    <w:link w:val="15"/>
    <w:unhideWhenUsed/>
    <w:qFormat/>
    <w:uiPriority w:val="99"/>
    <w:rPr>
      <w:b/>
      <w:bCs/>
    </w:rPr>
  </w:style>
  <w:style w:type="character" w:styleId="9">
    <w:name w:val="page number"/>
    <w:basedOn w:val="8"/>
    <w:qFormat/>
    <w:uiPriority w:val="0"/>
  </w:style>
  <w:style w:type="character" w:styleId="10">
    <w:name w:val="FollowedHyperlink"/>
    <w:basedOn w:val="8"/>
    <w:semiHidden/>
    <w:unhideWhenUsed/>
    <w:qFormat/>
    <w:uiPriority w:val="99"/>
    <w:rPr>
      <w:color w:val="262626"/>
      <w:u w:val="none"/>
    </w:rPr>
  </w:style>
  <w:style w:type="character" w:styleId="11">
    <w:name w:val="Hyperlink"/>
    <w:basedOn w:val="8"/>
    <w:semiHidden/>
    <w:unhideWhenUsed/>
    <w:qFormat/>
    <w:uiPriority w:val="99"/>
    <w:rPr>
      <w:color w:val="262626"/>
      <w:u w:val="none"/>
    </w:rPr>
  </w:style>
  <w:style w:type="character" w:styleId="12">
    <w:name w:val="annotation reference"/>
    <w:unhideWhenUsed/>
    <w:qFormat/>
    <w:uiPriority w:val="99"/>
    <w:rPr>
      <w:sz w:val="21"/>
      <w:szCs w:val="21"/>
    </w:rPr>
  </w:style>
  <w:style w:type="character" w:customStyle="1" w:styleId="13">
    <w:name w:val="页眉 字符"/>
    <w:link w:val="5"/>
    <w:semiHidden/>
    <w:qFormat/>
    <w:uiPriority w:val="99"/>
    <w:rPr>
      <w:kern w:val="2"/>
      <w:sz w:val="18"/>
      <w:szCs w:val="18"/>
    </w:rPr>
  </w:style>
  <w:style w:type="character" w:customStyle="1" w:styleId="14">
    <w:name w:val="页脚 字符"/>
    <w:link w:val="4"/>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character" w:customStyle="1" w:styleId="16">
    <w:name w:val="批注框文本 字符"/>
    <w:link w:val="3"/>
    <w:semiHidden/>
    <w:qFormat/>
    <w:uiPriority w:val="99"/>
    <w:rPr>
      <w:kern w:val="2"/>
      <w:sz w:val="18"/>
      <w:szCs w:val="18"/>
    </w:rPr>
  </w:style>
  <w:style w:type="character" w:customStyle="1" w:styleId="17">
    <w:name w:val="批注文字 字符"/>
    <w:link w:val="2"/>
    <w:semiHidden/>
    <w:qFormat/>
    <w:uiPriority w:val="99"/>
    <w:rPr>
      <w:kern w:val="2"/>
      <w:sz w:val="21"/>
      <w:szCs w:val="24"/>
    </w:rPr>
  </w:style>
  <w:style w:type="paragraph" w:customStyle="1" w:styleId="18">
    <w:name w:val="列出段落1"/>
    <w:basedOn w:val="1"/>
    <w:qFormat/>
    <w:uiPriority w:val="34"/>
    <w:pPr>
      <w:ind w:firstLine="420" w:firstLineChars="200"/>
    </w:pPr>
    <w:rPr>
      <w:rFonts w:ascii="Calibri" w:hAnsi="Calibri"/>
      <w:szCs w:val="22"/>
    </w:rPr>
  </w:style>
  <w:style w:type="paragraph" w:customStyle="1" w:styleId="19">
    <w:name w:val="修订1"/>
    <w:hidden/>
    <w:unhideWhenUsed/>
    <w:qFormat/>
    <w:uiPriority w:val="99"/>
    <w:rPr>
      <w:rFonts w:ascii="仿宋_GB2312" w:hAnsi="仿宋" w:eastAsia="仿宋_GB2312" w:cs="方正仿宋简体"/>
      <w:kern w:val="2"/>
      <w:sz w:val="21"/>
      <w:szCs w:val="24"/>
      <w:lang w:val="en-US" w:eastAsia="zh-CN" w:bidi="ar-SA"/>
    </w:rPr>
  </w:style>
  <w:style w:type="paragraph" w:customStyle="1" w:styleId="20">
    <w:name w:val="修订2"/>
    <w:hidden/>
    <w:semiHidden/>
    <w:qFormat/>
    <w:uiPriority w:val="99"/>
    <w:rPr>
      <w:rFonts w:ascii="仿宋_GB2312" w:hAnsi="仿宋" w:eastAsia="仿宋_GB2312" w:cs="方正仿宋简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168</Words>
  <Characters>962</Characters>
  <Lines>8</Lines>
  <Paragraphs>2</Paragraphs>
  <TotalTime>5</TotalTime>
  <ScaleCrop>false</ScaleCrop>
  <LinksUpToDate>false</LinksUpToDate>
  <CharactersWithSpaces>1128</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2024-01-16T22:41:00Z</dcterms:created>
  <dc:creator>Legend User</dc:creator>
  <cp:lastModifiedBy>liuyun</cp:lastModifiedBy>
  <cp:lastPrinted>2019-12-05T15:53:00Z</cp:lastPrinted>
  <dcterms:modified xsi:type="dcterms:W3CDTF">2024-05-15T09:56:21Z</dcterms:modified>
  <dc:title>××产品质量监督抽查实施细则</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KSOSaveFontToCloudKey">
    <vt:lpwstr>550453206_embed</vt:lpwstr>
  </property>
  <property fmtid="{D5CDD505-2E9C-101B-9397-08002B2CF9AE}" pid="4" name="ICV">
    <vt:lpwstr>C134AEEA625B45438C46E71307C1FD79</vt:lpwstr>
  </property>
</Properties>
</file>