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94" w:lineRule="exact"/>
        <w:jc w:val="center"/>
        <w:rPr>
          <w:rFonts w:eastAsia="方正小标宋简体" w:cs="方正仿宋简体"/>
          <w:sz w:val="32"/>
          <w:szCs w:val="32"/>
        </w:rPr>
      </w:pPr>
      <w:r>
        <w:rPr>
          <w:rFonts w:hint="eastAsia" w:eastAsia="方正小标宋简体" w:cs="方正仿宋简体"/>
          <w:sz w:val="32"/>
          <w:szCs w:val="32"/>
          <w:lang w:eastAsia="zh-CN"/>
        </w:rPr>
        <w:t>辽宁省建筑用钢材</w:t>
      </w:r>
      <w:r>
        <w:rPr>
          <w:rFonts w:eastAsia="方正小标宋简体" w:cs="方正仿宋简体"/>
          <w:sz w:val="32"/>
          <w:szCs w:val="32"/>
        </w:rPr>
        <w:t>产品质量监督抽查实施细则</w:t>
      </w:r>
    </w:p>
    <w:p>
      <w:pPr>
        <w:snapToGrid w:val="0"/>
        <w:spacing w:line="440" w:lineRule="exact"/>
        <w:rPr>
          <w:rFonts w:eastAsia="黑体"/>
          <w:color w:val="000000"/>
          <w:szCs w:val="21"/>
        </w:rPr>
      </w:pPr>
    </w:p>
    <w:p>
      <w:pPr>
        <w:snapToGrid w:val="0"/>
        <w:spacing w:line="440" w:lineRule="exact"/>
        <w:rPr>
          <w:rFonts w:eastAsia="黑体"/>
          <w:color w:val="000000"/>
          <w:szCs w:val="21"/>
        </w:rPr>
      </w:pPr>
      <w:r>
        <w:rPr>
          <w:rFonts w:eastAsia="黑体"/>
          <w:color w:val="000000"/>
          <w:szCs w:val="21"/>
        </w:rPr>
        <w:t>1 抽样方法</w:t>
      </w:r>
    </w:p>
    <w:p>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以随机抽样的方式在被抽样生产者、销售者的待销产品中抽取。</w:t>
      </w:r>
    </w:p>
    <w:p>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随机数一般可使用随机数表等方法产生。</w:t>
      </w:r>
    </w:p>
    <w:p>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对直条热轧带肋钢筋取样时，在同一批次（同一牌号、同一规格）的产品中抽取1捆，在该捆中抽取5根钢筋，每根钢筋截取的长度为2400mm（d≥28mm的钢筋取样长度为3400mm），逐根顺序编号为1～5，再把每根钢筋分成2支长度为1200mm的样品（d≥28mm的每根钢筋分成2支长度为1700mm的样品），2支样品逐支编号标记，并一一对应（如1-a，1-b），每支样品要保证有完整的表面标志，标记a的5支样品为检验样品，标记b的5支样品为备用样品。</w:t>
      </w:r>
    </w:p>
    <w:p>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对盘卷热轧带肋钢筋取样时，在同一批次（同一牌号、同一规格）的产品中抽取5盘产品，在每盘钢筋上距头或尾至少2000mm处，随机截取1根长度为2400mm的钢筋，逐根顺序编号为1～5，再把每根钢筋分成2支长度为1200mm的样品，2支样品逐支编号标记，并一一对应（如1-a，1-b），每支样品要保证有完整的表面标志。标记a的5支样品为检验样品，标记b的5支样品为备用样品。</w:t>
      </w:r>
    </w:p>
    <w:p>
      <w:pPr>
        <w:keepNext w:val="0"/>
        <w:keepLines w:val="0"/>
        <w:pageBreakBefore w:val="0"/>
        <w:widowControl w:val="0"/>
        <w:kinsoku/>
        <w:wordWrap/>
        <w:overflowPunct/>
        <w:topLinePunct w:val="0"/>
        <w:autoSpaceDE/>
        <w:autoSpaceDN/>
        <w:bidi w:val="0"/>
        <w:adjustRightInd/>
        <w:spacing w:line="440" w:lineRule="exact"/>
        <w:ind w:firstLine="420" w:firstLineChars="200"/>
        <w:textAlignment w:val="auto"/>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对直条热轧光圆钢筋取样时，在同一批次（同一牌号、同一规格）的产品中随机抽取1捆，在该捆中随机抽取5根钢筋，每根钢筋截取的长度为2400mm，逐根顺序编号为1～5，再把每根钢筋分成2支长度为1200mm的样品，2支样品逐支编号标记，并一一对应（如1-a，1-b），标记a的5支样品为检验样品，标记b的5支样品为备用样品。</w:t>
      </w:r>
    </w:p>
    <w:p>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对盘卷热轧光圆钢筋取样时，随机抽取同一批次（同一牌号、同一规格）的5盘产品，在每盘钢筋上距头或尾至少2000mm处，随机截取1根长度为2400mm的钢筋，逐根顺序编号为1～5，再把每根钢筋分成2支长度为1200mm的样品，2支样品逐支编号标记，并一一对应（如1-a，1-b）</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color w:val="000000"/>
          <w:szCs w:val="21"/>
        </w:rPr>
        <w:t>标记a的5支样品为检验样品，标记b的5支样品为备用样品。</w:t>
      </w:r>
    </w:p>
    <w:p>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对直条冷轧带肋钢筋取样时，在同一批次的产品中抽取1捆，在该捆中抽取5根钢筋，每根钢筋截取的长度为2000mm，逐根顺序编号为1～5，再把每根钢筋分成2支长度为1000mm的样品，2支样品逐支编号标记，并一一对应（如1-a，1-b），每支样品要保证有完整的表面标志，标记a的5支样品为检验样品，标记b的5支样品为备用样品。</w:t>
      </w:r>
    </w:p>
    <w:p>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对盘卷冷轧带肋钢筋取样时，在同一批次的产品中抽取5盘产品，在每盘钢筋随机截取1根长度为2000mm的钢筋，逐根顺序编号为1～5，再把每根钢筋分成2支长度为1000mm的样品，2支样品逐支编号标记，并一一对应（如1-a，1-b），每支样品要保证有完整的表面标志。标记a的5支样品为检验样品，标记b的5支样品为备用样品。</w:t>
      </w:r>
    </w:p>
    <w:p>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对</w:t>
      </w:r>
      <w:r>
        <w:rPr>
          <w:rFonts w:hint="eastAsia" w:asciiTheme="minorEastAsia" w:hAnsiTheme="minorEastAsia" w:eastAsiaTheme="minorEastAsia" w:cstheme="minorEastAsia"/>
          <w:color w:val="000000"/>
          <w:szCs w:val="21"/>
          <w:lang w:eastAsia="zh-CN"/>
        </w:rPr>
        <w:t>热轧型钢取样时，</w:t>
      </w:r>
      <w:r>
        <w:rPr>
          <w:rFonts w:hint="eastAsia" w:asciiTheme="minorEastAsia" w:hAnsiTheme="minorEastAsia" w:eastAsiaTheme="minorEastAsia" w:cstheme="minorEastAsia"/>
          <w:color w:val="000000"/>
          <w:szCs w:val="21"/>
        </w:rPr>
        <w:t>在同一批次的产品中抽取5根型钢，每根型钢截取的长度为2000mm，逐根顺序编号为1～5，再把每根型钢分成2支长度为1000mm的样品，2支样品逐支编号标记，并一一对应（如1-a，1-b），标记a的5支样品为检验样品，标记b的5支样品为备用样品。</w:t>
      </w:r>
    </w:p>
    <w:p>
      <w:pPr>
        <w:snapToGrid w:val="0"/>
        <w:spacing w:line="440" w:lineRule="exact"/>
        <w:rPr>
          <w:color w:val="000000"/>
          <w:szCs w:val="21"/>
        </w:rPr>
      </w:pPr>
    </w:p>
    <w:p>
      <w:pPr>
        <w:snapToGrid w:val="0"/>
        <w:spacing w:line="440" w:lineRule="exact"/>
        <w:rPr>
          <w:rFonts w:eastAsia="黑体"/>
          <w:color w:val="000000"/>
          <w:szCs w:val="21"/>
        </w:rPr>
      </w:pPr>
      <w:r>
        <w:rPr>
          <w:rFonts w:eastAsia="黑体"/>
          <w:color w:val="000000"/>
          <w:szCs w:val="21"/>
        </w:rPr>
        <w:t>2 检验</w:t>
      </w:r>
      <w:bookmarkStart w:id="1" w:name="_GoBack"/>
      <w:bookmarkEnd w:id="1"/>
      <w:r>
        <w:rPr>
          <w:rFonts w:eastAsia="黑体"/>
          <w:color w:val="000000"/>
          <w:szCs w:val="21"/>
        </w:rPr>
        <w:t>依据</w:t>
      </w:r>
    </w:p>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szCs w:val="21"/>
          <w:lang w:eastAsia="zh-CN"/>
        </w:rPr>
      </w:pPr>
      <w:r>
        <w:rPr>
          <w:rFonts w:eastAsiaTheme="minorEastAsia"/>
          <w:szCs w:val="21"/>
        </w:rPr>
        <w:t>表</w:t>
      </w:r>
      <w:r>
        <w:rPr>
          <w:rFonts w:hint="eastAsia" w:eastAsiaTheme="minorEastAsia"/>
          <w:szCs w:val="21"/>
        </w:rPr>
        <w:t>1</w:t>
      </w:r>
      <w:r>
        <w:rPr>
          <w:rFonts w:hint="eastAsia" w:ascii="宋体" w:hAnsi="宋体" w:eastAsia="宋体" w:cs="宋体"/>
          <w:szCs w:val="21"/>
          <w:lang w:eastAsia="zh-CN"/>
        </w:rPr>
        <w:t>热轧</w:t>
      </w:r>
      <w:r>
        <w:rPr>
          <w:rFonts w:hint="eastAsia" w:ascii="宋体" w:hAnsi="宋体" w:eastAsia="宋体" w:cs="宋体"/>
          <w:color w:val="000000"/>
          <w:szCs w:val="21"/>
          <w:lang w:eastAsia="zh-CN"/>
        </w:rPr>
        <w:t>带肋钢筋</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6"/>
        <w:gridCol w:w="1033"/>
        <w:gridCol w:w="3143"/>
        <w:gridCol w:w="1991"/>
        <w:gridCol w:w="23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352" w:type="pct"/>
            <w:vAlign w:val="center"/>
          </w:tcPr>
          <w:p>
            <w:pPr>
              <w:jc w:val="center"/>
              <w:rPr>
                <w:rFonts w:eastAsiaTheme="minorEastAsia"/>
                <w:szCs w:val="21"/>
              </w:rPr>
            </w:pPr>
            <w:r>
              <w:rPr>
                <w:rFonts w:eastAsiaTheme="minorEastAsia"/>
                <w:szCs w:val="21"/>
              </w:rPr>
              <w:t>序号</w:t>
            </w:r>
          </w:p>
        </w:tc>
        <w:tc>
          <w:tcPr>
            <w:tcW w:w="2276" w:type="pct"/>
            <w:gridSpan w:val="2"/>
            <w:vAlign w:val="center"/>
          </w:tcPr>
          <w:p>
            <w:pPr>
              <w:jc w:val="center"/>
              <w:rPr>
                <w:rFonts w:eastAsiaTheme="minorEastAsia"/>
                <w:szCs w:val="21"/>
              </w:rPr>
            </w:pPr>
            <w:r>
              <w:rPr>
                <w:rFonts w:eastAsiaTheme="minorEastAsia"/>
                <w:szCs w:val="21"/>
              </w:rPr>
              <w:t>检验项目</w:t>
            </w:r>
          </w:p>
        </w:tc>
        <w:tc>
          <w:tcPr>
            <w:tcW w:w="1085" w:type="pct"/>
            <w:vAlign w:val="center"/>
          </w:tcPr>
          <w:p>
            <w:pPr>
              <w:jc w:val="center"/>
              <w:rPr>
                <w:rFonts w:eastAsiaTheme="minorEastAsia"/>
                <w:szCs w:val="21"/>
              </w:rPr>
            </w:pPr>
            <w:r>
              <w:rPr>
                <w:rFonts w:eastAsiaTheme="minorEastAsia"/>
                <w:szCs w:val="21"/>
              </w:rPr>
              <w:t>检验依据</w:t>
            </w:r>
          </w:p>
        </w:tc>
        <w:tc>
          <w:tcPr>
            <w:tcW w:w="1287" w:type="pct"/>
            <w:vAlign w:val="center"/>
          </w:tcPr>
          <w:p>
            <w:pPr>
              <w:jc w:val="center"/>
              <w:rPr>
                <w:rFonts w:eastAsiaTheme="minorEastAsia"/>
                <w:szCs w:val="21"/>
              </w:rPr>
            </w:pPr>
            <w:r>
              <w:rPr>
                <w:rFonts w:eastAsiaTheme="minorEastAsia"/>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352" w:type="pct"/>
            <w:vMerge w:val="restart"/>
            <w:vAlign w:val="center"/>
          </w:tcPr>
          <w:p>
            <w:pPr>
              <w:jc w:val="center"/>
              <w:rPr>
                <w:rFonts w:eastAsiaTheme="minorEastAsia"/>
                <w:szCs w:val="21"/>
              </w:rPr>
            </w:pPr>
            <w:r>
              <w:rPr>
                <w:rFonts w:eastAsiaTheme="minorEastAsia"/>
                <w:szCs w:val="21"/>
              </w:rPr>
              <w:t>1</w:t>
            </w:r>
          </w:p>
        </w:tc>
        <w:tc>
          <w:tcPr>
            <w:tcW w:w="563" w:type="pct"/>
            <w:vMerge w:val="restart"/>
            <w:vAlign w:val="center"/>
          </w:tcPr>
          <w:p>
            <w:pPr>
              <w:jc w:val="center"/>
              <w:rPr>
                <w:rFonts w:eastAsiaTheme="minorEastAsia"/>
                <w:szCs w:val="21"/>
              </w:rPr>
            </w:pPr>
            <w:r>
              <w:rPr>
                <w:rFonts w:eastAsiaTheme="minorEastAsia"/>
                <w:szCs w:val="21"/>
              </w:rPr>
              <w:t>力学性能</w:t>
            </w:r>
          </w:p>
        </w:tc>
        <w:tc>
          <w:tcPr>
            <w:tcW w:w="1713" w:type="pct"/>
            <w:vAlign w:val="center"/>
          </w:tcPr>
          <w:p>
            <w:pPr>
              <w:jc w:val="center"/>
              <w:rPr>
                <w:rFonts w:eastAsiaTheme="minorEastAsia"/>
                <w:szCs w:val="21"/>
              </w:rPr>
            </w:pPr>
            <w:r>
              <w:rPr>
                <w:rFonts w:eastAsiaTheme="minorEastAsia"/>
                <w:szCs w:val="21"/>
              </w:rPr>
              <w:t>屈服强度</w:t>
            </w:r>
          </w:p>
        </w:tc>
        <w:tc>
          <w:tcPr>
            <w:tcW w:w="1085" w:type="pct"/>
            <w:vMerge w:val="restart"/>
            <w:vAlign w:val="center"/>
          </w:tcPr>
          <w:p>
            <w:pPr>
              <w:jc w:val="center"/>
              <w:rPr>
                <w:rFonts w:eastAsiaTheme="minorEastAsia"/>
                <w:szCs w:val="21"/>
              </w:rPr>
            </w:pPr>
            <w:r>
              <w:rPr>
                <w:rFonts w:eastAsiaTheme="minorEastAsia"/>
                <w:szCs w:val="21"/>
              </w:rPr>
              <w:t>GB/T 1499.2</w:t>
            </w:r>
            <w:r>
              <w:t>—</w:t>
            </w:r>
            <w:r>
              <w:rPr>
                <w:rFonts w:eastAsiaTheme="minorEastAsia"/>
                <w:szCs w:val="21"/>
              </w:rPr>
              <w:t>2018</w:t>
            </w:r>
          </w:p>
        </w:tc>
        <w:tc>
          <w:tcPr>
            <w:tcW w:w="1287" w:type="pct"/>
            <w:vMerge w:val="restart"/>
            <w:vAlign w:val="center"/>
          </w:tcPr>
          <w:p>
            <w:pPr>
              <w:jc w:val="center"/>
              <w:rPr>
                <w:rFonts w:eastAsiaTheme="minorEastAsia"/>
                <w:szCs w:val="21"/>
              </w:rPr>
            </w:pPr>
            <w:r>
              <w:rPr>
                <w:rFonts w:eastAsiaTheme="minorEastAsia"/>
                <w:szCs w:val="21"/>
              </w:rPr>
              <w:t>GB/T 1499.2</w:t>
            </w:r>
            <w:r>
              <w:t>—</w:t>
            </w:r>
            <w:r>
              <w:rPr>
                <w:rFonts w:eastAsiaTheme="minorEastAsia"/>
                <w:szCs w:val="21"/>
              </w:rPr>
              <w:t>2018</w:t>
            </w:r>
          </w:p>
          <w:p>
            <w:pPr>
              <w:jc w:val="center"/>
              <w:rPr>
                <w:rFonts w:eastAsiaTheme="minorEastAsia"/>
                <w:szCs w:val="21"/>
              </w:rPr>
            </w:pPr>
            <w:r>
              <w:rPr>
                <w:rFonts w:eastAsiaTheme="minorEastAsia"/>
                <w:szCs w:val="21"/>
              </w:rPr>
              <w:t>GB/T 28900</w:t>
            </w:r>
            <w:r>
              <w:t>—</w:t>
            </w:r>
            <w:r>
              <w:rPr>
                <w:rFonts w:eastAsiaTheme="minorEastAsia"/>
                <w:szCs w:val="21"/>
              </w:rPr>
              <w:t>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52" w:type="pct"/>
            <w:vMerge w:val="continue"/>
            <w:vAlign w:val="center"/>
          </w:tcPr>
          <w:p>
            <w:pPr>
              <w:jc w:val="center"/>
              <w:rPr>
                <w:rFonts w:eastAsiaTheme="minorEastAsia"/>
                <w:szCs w:val="21"/>
              </w:rPr>
            </w:pPr>
          </w:p>
        </w:tc>
        <w:tc>
          <w:tcPr>
            <w:tcW w:w="563" w:type="pct"/>
            <w:vMerge w:val="continue"/>
            <w:vAlign w:val="center"/>
          </w:tcPr>
          <w:p>
            <w:pPr>
              <w:jc w:val="center"/>
              <w:rPr>
                <w:rFonts w:eastAsiaTheme="minorEastAsia"/>
                <w:szCs w:val="21"/>
              </w:rPr>
            </w:pPr>
          </w:p>
        </w:tc>
        <w:tc>
          <w:tcPr>
            <w:tcW w:w="1713" w:type="pct"/>
            <w:vAlign w:val="center"/>
          </w:tcPr>
          <w:p>
            <w:pPr>
              <w:jc w:val="center"/>
              <w:rPr>
                <w:rFonts w:eastAsiaTheme="minorEastAsia"/>
                <w:szCs w:val="21"/>
              </w:rPr>
            </w:pPr>
            <w:r>
              <w:rPr>
                <w:rFonts w:eastAsiaTheme="minorEastAsia"/>
                <w:szCs w:val="21"/>
              </w:rPr>
              <w:t>抗拉强度</w:t>
            </w:r>
          </w:p>
        </w:tc>
        <w:tc>
          <w:tcPr>
            <w:tcW w:w="1085" w:type="pct"/>
            <w:vMerge w:val="continue"/>
            <w:vAlign w:val="center"/>
          </w:tcPr>
          <w:p>
            <w:pPr>
              <w:jc w:val="center"/>
              <w:rPr>
                <w:rFonts w:eastAsiaTheme="minorEastAsia"/>
                <w:szCs w:val="21"/>
              </w:rPr>
            </w:pPr>
          </w:p>
        </w:tc>
        <w:tc>
          <w:tcPr>
            <w:tcW w:w="1287" w:type="pct"/>
            <w:vMerge w:val="continue"/>
            <w:vAlign w:val="center"/>
          </w:tcPr>
          <w:p>
            <w:pPr>
              <w:jc w:val="center"/>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52" w:type="pct"/>
            <w:vMerge w:val="continue"/>
            <w:vAlign w:val="center"/>
          </w:tcPr>
          <w:p>
            <w:pPr>
              <w:jc w:val="center"/>
              <w:rPr>
                <w:rFonts w:eastAsiaTheme="minorEastAsia"/>
                <w:szCs w:val="21"/>
              </w:rPr>
            </w:pPr>
          </w:p>
        </w:tc>
        <w:tc>
          <w:tcPr>
            <w:tcW w:w="563" w:type="pct"/>
            <w:vMerge w:val="continue"/>
            <w:vAlign w:val="center"/>
          </w:tcPr>
          <w:p>
            <w:pPr>
              <w:jc w:val="center"/>
              <w:rPr>
                <w:rFonts w:eastAsiaTheme="minorEastAsia"/>
                <w:szCs w:val="21"/>
              </w:rPr>
            </w:pPr>
          </w:p>
        </w:tc>
        <w:tc>
          <w:tcPr>
            <w:tcW w:w="1713" w:type="pct"/>
            <w:vAlign w:val="center"/>
          </w:tcPr>
          <w:p>
            <w:pPr>
              <w:jc w:val="center"/>
              <w:rPr>
                <w:rFonts w:eastAsiaTheme="minorEastAsia"/>
                <w:szCs w:val="21"/>
              </w:rPr>
            </w:pPr>
            <w:r>
              <w:rPr>
                <w:rFonts w:eastAsiaTheme="minorEastAsia"/>
                <w:szCs w:val="21"/>
              </w:rPr>
              <w:t>断后伸长率</w:t>
            </w:r>
          </w:p>
        </w:tc>
        <w:tc>
          <w:tcPr>
            <w:tcW w:w="1085" w:type="pct"/>
            <w:vMerge w:val="continue"/>
            <w:vAlign w:val="center"/>
          </w:tcPr>
          <w:p>
            <w:pPr>
              <w:jc w:val="center"/>
              <w:rPr>
                <w:rFonts w:eastAsiaTheme="minorEastAsia"/>
                <w:szCs w:val="21"/>
              </w:rPr>
            </w:pPr>
          </w:p>
        </w:tc>
        <w:tc>
          <w:tcPr>
            <w:tcW w:w="1287" w:type="pct"/>
            <w:vMerge w:val="continue"/>
            <w:vAlign w:val="center"/>
          </w:tcPr>
          <w:p>
            <w:pPr>
              <w:jc w:val="center"/>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52" w:type="pct"/>
            <w:vMerge w:val="continue"/>
            <w:vAlign w:val="center"/>
          </w:tcPr>
          <w:p>
            <w:pPr>
              <w:jc w:val="center"/>
              <w:rPr>
                <w:rFonts w:eastAsiaTheme="minorEastAsia"/>
                <w:szCs w:val="21"/>
              </w:rPr>
            </w:pPr>
          </w:p>
        </w:tc>
        <w:tc>
          <w:tcPr>
            <w:tcW w:w="563" w:type="pct"/>
            <w:vMerge w:val="continue"/>
            <w:vAlign w:val="center"/>
          </w:tcPr>
          <w:p>
            <w:pPr>
              <w:jc w:val="center"/>
              <w:rPr>
                <w:rFonts w:eastAsiaTheme="minorEastAsia"/>
                <w:szCs w:val="21"/>
              </w:rPr>
            </w:pPr>
          </w:p>
        </w:tc>
        <w:tc>
          <w:tcPr>
            <w:tcW w:w="1713" w:type="pct"/>
            <w:vAlign w:val="center"/>
          </w:tcPr>
          <w:p>
            <w:pPr>
              <w:jc w:val="center"/>
              <w:rPr>
                <w:rFonts w:eastAsiaTheme="minorEastAsia"/>
                <w:szCs w:val="21"/>
              </w:rPr>
            </w:pPr>
            <w:r>
              <w:rPr>
                <w:rFonts w:eastAsiaTheme="minorEastAsia"/>
                <w:szCs w:val="21"/>
              </w:rPr>
              <w:t>实测抗拉强度与实测屈服强度之比</w:t>
            </w:r>
          </w:p>
        </w:tc>
        <w:tc>
          <w:tcPr>
            <w:tcW w:w="1085" w:type="pct"/>
            <w:vMerge w:val="continue"/>
            <w:vAlign w:val="center"/>
          </w:tcPr>
          <w:p>
            <w:pPr>
              <w:jc w:val="center"/>
              <w:rPr>
                <w:rFonts w:eastAsiaTheme="minorEastAsia"/>
                <w:szCs w:val="21"/>
              </w:rPr>
            </w:pPr>
          </w:p>
        </w:tc>
        <w:tc>
          <w:tcPr>
            <w:tcW w:w="1287" w:type="pct"/>
            <w:vMerge w:val="continue"/>
            <w:vAlign w:val="center"/>
          </w:tcPr>
          <w:p>
            <w:pPr>
              <w:jc w:val="center"/>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52" w:type="pct"/>
            <w:vMerge w:val="continue"/>
            <w:vAlign w:val="center"/>
          </w:tcPr>
          <w:p>
            <w:pPr>
              <w:jc w:val="center"/>
              <w:rPr>
                <w:rFonts w:eastAsiaTheme="minorEastAsia"/>
                <w:szCs w:val="21"/>
              </w:rPr>
            </w:pPr>
          </w:p>
        </w:tc>
        <w:tc>
          <w:tcPr>
            <w:tcW w:w="563" w:type="pct"/>
            <w:vMerge w:val="continue"/>
            <w:vAlign w:val="center"/>
          </w:tcPr>
          <w:p>
            <w:pPr>
              <w:jc w:val="center"/>
              <w:rPr>
                <w:rFonts w:eastAsiaTheme="minorEastAsia"/>
                <w:szCs w:val="21"/>
              </w:rPr>
            </w:pPr>
          </w:p>
        </w:tc>
        <w:tc>
          <w:tcPr>
            <w:tcW w:w="1713" w:type="pct"/>
            <w:vAlign w:val="center"/>
          </w:tcPr>
          <w:p>
            <w:pPr>
              <w:jc w:val="center"/>
              <w:rPr>
                <w:rFonts w:eastAsiaTheme="minorEastAsia"/>
                <w:szCs w:val="21"/>
              </w:rPr>
            </w:pPr>
            <w:r>
              <w:rPr>
                <w:rFonts w:eastAsiaTheme="minorEastAsia"/>
                <w:szCs w:val="21"/>
              </w:rPr>
              <w:t>实测屈服强度与屈服强度特征值之比</w:t>
            </w:r>
          </w:p>
        </w:tc>
        <w:tc>
          <w:tcPr>
            <w:tcW w:w="1085" w:type="pct"/>
            <w:vMerge w:val="continue"/>
            <w:vAlign w:val="center"/>
          </w:tcPr>
          <w:p>
            <w:pPr>
              <w:jc w:val="center"/>
              <w:rPr>
                <w:rFonts w:eastAsiaTheme="minorEastAsia"/>
                <w:szCs w:val="21"/>
              </w:rPr>
            </w:pPr>
          </w:p>
        </w:tc>
        <w:tc>
          <w:tcPr>
            <w:tcW w:w="1287" w:type="pct"/>
            <w:vMerge w:val="continue"/>
            <w:vAlign w:val="center"/>
          </w:tcPr>
          <w:p>
            <w:pPr>
              <w:jc w:val="center"/>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52" w:type="pct"/>
            <w:vMerge w:val="continue"/>
            <w:vAlign w:val="center"/>
          </w:tcPr>
          <w:p>
            <w:pPr>
              <w:jc w:val="center"/>
              <w:rPr>
                <w:rFonts w:eastAsiaTheme="minorEastAsia"/>
                <w:szCs w:val="21"/>
              </w:rPr>
            </w:pPr>
          </w:p>
        </w:tc>
        <w:tc>
          <w:tcPr>
            <w:tcW w:w="563" w:type="pct"/>
            <w:vMerge w:val="continue"/>
            <w:vAlign w:val="center"/>
          </w:tcPr>
          <w:p>
            <w:pPr>
              <w:jc w:val="center"/>
              <w:rPr>
                <w:rFonts w:eastAsiaTheme="minorEastAsia"/>
                <w:szCs w:val="21"/>
              </w:rPr>
            </w:pPr>
          </w:p>
        </w:tc>
        <w:tc>
          <w:tcPr>
            <w:tcW w:w="1713" w:type="pct"/>
            <w:vAlign w:val="center"/>
          </w:tcPr>
          <w:p>
            <w:pPr>
              <w:jc w:val="center"/>
              <w:rPr>
                <w:rFonts w:eastAsiaTheme="minorEastAsia"/>
                <w:szCs w:val="21"/>
              </w:rPr>
            </w:pPr>
            <w:r>
              <w:rPr>
                <w:rFonts w:eastAsiaTheme="minorEastAsia"/>
                <w:szCs w:val="21"/>
              </w:rPr>
              <w:t>最大力总延伸率</w:t>
            </w:r>
          </w:p>
        </w:tc>
        <w:tc>
          <w:tcPr>
            <w:tcW w:w="1085" w:type="pct"/>
            <w:vMerge w:val="continue"/>
            <w:vAlign w:val="center"/>
          </w:tcPr>
          <w:p>
            <w:pPr>
              <w:jc w:val="center"/>
              <w:rPr>
                <w:rFonts w:eastAsiaTheme="minorEastAsia"/>
                <w:szCs w:val="21"/>
              </w:rPr>
            </w:pPr>
          </w:p>
        </w:tc>
        <w:tc>
          <w:tcPr>
            <w:tcW w:w="1287" w:type="pct"/>
            <w:vMerge w:val="continue"/>
            <w:vAlign w:val="center"/>
          </w:tcPr>
          <w:p>
            <w:pPr>
              <w:jc w:val="center"/>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52" w:type="pct"/>
            <w:vMerge w:val="restart"/>
            <w:vAlign w:val="center"/>
          </w:tcPr>
          <w:p>
            <w:pPr>
              <w:jc w:val="center"/>
              <w:rPr>
                <w:rFonts w:eastAsiaTheme="minorEastAsia"/>
                <w:szCs w:val="21"/>
              </w:rPr>
            </w:pPr>
            <w:r>
              <w:rPr>
                <w:rFonts w:eastAsiaTheme="minorEastAsia"/>
                <w:szCs w:val="21"/>
              </w:rPr>
              <w:t>2</w:t>
            </w:r>
          </w:p>
        </w:tc>
        <w:tc>
          <w:tcPr>
            <w:tcW w:w="563" w:type="pct"/>
            <w:vMerge w:val="restart"/>
            <w:vAlign w:val="center"/>
          </w:tcPr>
          <w:p>
            <w:pPr>
              <w:jc w:val="center"/>
              <w:rPr>
                <w:rFonts w:eastAsiaTheme="minorEastAsia"/>
                <w:szCs w:val="21"/>
              </w:rPr>
            </w:pPr>
            <w:r>
              <w:rPr>
                <w:rFonts w:eastAsiaTheme="minorEastAsia"/>
                <w:szCs w:val="21"/>
              </w:rPr>
              <w:t>工艺性能</w:t>
            </w:r>
          </w:p>
        </w:tc>
        <w:tc>
          <w:tcPr>
            <w:tcW w:w="1713" w:type="pct"/>
            <w:vAlign w:val="center"/>
          </w:tcPr>
          <w:p>
            <w:pPr>
              <w:jc w:val="center"/>
              <w:rPr>
                <w:rFonts w:eastAsiaTheme="minorEastAsia"/>
                <w:szCs w:val="21"/>
              </w:rPr>
            </w:pPr>
            <w:r>
              <w:rPr>
                <w:rFonts w:eastAsiaTheme="minorEastAsia"/>
                <w:szCs w:val="21"/>
              </w:rPr>
              <w:t>弯曲</w:t>
            </w:r>
          </w:p>
        </w:tc>
        <w:tc>
          <w:tcPr>
            <w:tcW w:w="1085" w:type="pct"/>
            <w:vMerge w:val="restart"/>
            <w:vAlign w:val="center"/>
          </w:tcPr>
          <w:p>
            <w:pPr>
              <w:jc w:val="center"/>
              <w:rPr>
                <w:rFonts w:eastAsiaTheme="minorEastAsia"/>
                <w:szCs w:val="21"/>
              </w:rPr>
            </w:pPr>
            <w:r>
              <w:rPr>
                <w:rFonts w:eastAsiaTheme="minorEastAsia"/>
                <w:szCs w:val="21"/>
              </w:rPr>
              <w:t>GB/T 1499.2</w:t>
            </w:r>
            <w:r>
              <w:t>—</w:t>
            </w:r>
            <w:r>
              <w:rPr>
                <w:rFonts w:eastAsiaTheme="minorEastAsia"/>
                <w:szCs w:val="21"/>
              </w:rPr>
              <w:t>2018</w:t>
            </w:r>
          </w:p>
        </w:tc>
        <w:tc>
          <w:tcPr>
            <w:tcW w:w="1287" w:type="pct"/>
            <w:vAlign w:val="center"/>
          </w:tcPr>
          <w:p>
            <w:pPr>
              <w:jc w:val="center"/>
              <w:rPr>
                <w:rFonts w:eastAsiaTheme="minorEastAsia"/>
                <w:szCs w:val="21"/>
              </w:rPr>
            </w:pPr>
            <w:r>
              <w:rPr>
                <w:rFonts w:eastAsiaTheme="minorEastAsia"/>
                <w:szCs w:val="21"/>
              </w:rPr>
              <w:t>GB/T 1499.2</w:t>
            </w:r>
            <w:r>
              <w:t>—</w:t>
            </w:r>
            <w:r>
              <w:rPr>
                <w:rFonts w:eastAsiaTheme="minorEastAsia"/>
                <w:szCs w:val="21"/>
              </w:rPr>
              <w:t>2018</w:t>
            </w:r>
          </w:p>
          <w:p>
            <w:pPr>
              <w:jc w:val="center"/>
              <w:rPr>
                <w:rFonts w:eastAsiaTheme="minorEastAsia"/>
                <w:szCs w:val="21"/>
              </w:rPr>
            </w:pPr>
            <w:r>
              <w:rPr>
                <w:rFonts w:eastAsiaTheme="minorEastAsia"/>
                <w:szCs w:val="21"/>
              </w:rPr>
              <w:t>GB/T 28900</w:t>
            </w:r>
            <w:r>
              <w:t>—</w:t>
            </w:r>
            <w:r>
              <w:rPr>
                <w:rFonts w:eastAsiaTheme="minorEastAsia"/>
                <w:szCs w:val="21"/>
              </w:rPr>
              <w:t>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52" w:type="pct"/>
            <w:vMerge w:val="continue"/>
            <w:vAlign w:val="center"/>
          </w:tcPr>
          <w:p>
            <w:pPr>
              <w:jc w:val="center"/>
              <w:rPr>
                <w:rFonts w:eastAsiaTheme="minorEastAsia"/>
                <w:szCs w:val="21"/>
              </w:rPr>
            </w:pPr>
          </w:p>
        </w:tc>
        <w:tc>
          <w:tcPr>
            <w:tcW w:w="563" w:type="pct"/>
            <w:vMerge w:val="continue"/>
            <w:vAlign w:val="center"/>
          </w:tcPr>
          <w:p>
            <w:pPr>
              <w:rPr>
                <w:rFonts w:eastAsiaTheme="minorEastAsia"/>
                <w:szCs w:val="21"/>
              </w:rPr>
            </w:pPr>
          </w:p>
        </w:tc>
        <w:tc>
          <w:tcPr>
            <w:tcW w:w="1713" w:type="pct"/>
            <w:vAlign w:val="center"/>
          </w:tcPr>
          <w:p>
            <w:pPr>
              <w:jc w:val="center"/>
              <w:rPr>
                <w:rFonts w:eastAsiaTheme="minorEastAsia"/>
                <w:szCs w:val="21"/>
              </w:rPr>
            </w:pPr>
            <w:r>
              <w:rPr>
                <w:rFonts w:eastAsiaTheme="minorEastAsia"/>
                <w:szCs w:val="21"/>
              </w:rPr>
              <w:t>反向弯曲</w:t>
            </w:r>
          </w:p>
        </w:tc>
        <w:tc>
          <w:tcPr>
            <w:tcW w:w="1085" w:type="pct"/>
            <w:vMerge w:val="continue"/>
            <w:vAlign w:val="center"/>
          </w:tcPr>
          <w:p>
            <w:pPr>
              <w:jc w:val="center"/>
              <w:rPr>
                <w:rFonts w:eastAsiaTheme="minorEastAsia"/>
                <w:szCs w:val="21"/>
              </w:rPr>
            </w:pPr>
          </w:p>
        </w:tc>
        <w:tc>
          <w:tcPr>
            <w:tcW w:w="1287" w:type="pct"/>
            <w:vAlign w:val="center"/>
          </w:tcPr>
          <w:p>
            <w:pPr>
              <w:jc w:val="center"/>
              <w:rPr>
                <w:rFonts w:eastAsiaTheme="minorEastAsia"/>
                <w:szCs w:val="21"/>
              </w:rPr>
            </w:pPr>
            <w:r>
              <w:rPr>
                <w:rFonts w:eastAsiaTheme="minorEastAsia"/>
                <w:szCs w:val="21"/>
              </w:rPr>
              <w:t>GB/T 1499.2</w:t>
            </w:r>
            <w:r>
              <w:t>—</w:t>
            </w:r>
            <w:r>
              <w:rPr>
                <w:rFonts w:eastAsiaTheme="minorEastAsia"/>
                <w:szCs w:val="21"/>
              </w:rPr>
              <w:t>2018</w:t>
            </w:r>
          </w:p>
          <w:p>
            <w:pPr>
              <w:jc w:val="center"/>
              <w:rPr>
                <w:rFonts w:eastAsiaTheme="minorEastAsia"/>
                <w:szCs w:val="21"/>
              </w:rPr>
            </w:pPr>
            <w:r>
              <w:rPr>
                <w:rFonts w:eastAsiaTheme="minorEastAsia"/>
                <w:szCs w:val="21"/>
              </w:rPr>
              <w:t>GB/T 28900</w:t>
            </w:r>
            <w:r>
              <w:t>—</w:t>
            </w:r>
            <w:r>
              <w:rPr>
                <w:rFonts w:eastAsiaTheme="minorEastAsia"/>
                <w:szCs w:val="21"/>
              </w:rPr>
              <w:t>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52" w:type="pct"/>
            <w:vMerge w:val="restart"/>
            <w:vAlign w:val="center"/>
          </w:tcPr>
          <w:p>
            <w:pPr>
              <w:jc w:val="center"/>
              <w:rPr>
                <w:rFonts w:eastAsiaTheme="minorEastAsia"/>
                <w:szCs w:val="21"/>
              </w:rPr>
            </w:pPr>
            <w:r>
              <w:rPr>
                <w:rFonts w:eastAsiaTheme="minorEastAsia"/>
                <w:szCs w:val="21"/>
              </w:rPr>
              <w:t>3</w:t>
            </w:r>
          </w:p>
        </w:tc>
        <w:tc>
          <w:tcPr>
            <w:tcW w:w="563" w:type="pct"/>
            <w:vMerge w:val="restart"/>
            <w:vAlign w:val="center"/>
          </w:tcPr>
          <w:p>
            <w:pPr>
              <w:jc w:val="center"/>
              <w:rPr>
                <w:rFonts w:eastAsiaTheme="minorEastAsia"/>
                <w:szCs w:val="21"/>
              </w:rPr>
            </w:pPr>
            <w:r>
              <w:rPr>
                <w:rFonts w:eastAsiaTheme="minorEastAsia"/>
                <w:szCs w:val="21"/>
              </w:rPr>
              <w:t>化学成分</w:t>
            </w:r>
          </w:p>
        </w:tc>
        <w:tc>
          <w:tcPr>
            <w:tcW w:w="1713" w:type="pct"/>
            <w:vAlign w:val="center"/>
          </w:tcPr>
          <w:p>
            <w:pPr>
              <w:jc w:val="center"/>
              <w:rPr>
                <w:rFonts w:eastAsiaTheme="minorEastAsia"/>
                <w:szCs w:val="21"/>
              </w:rPr>
            </w:pPr>
            <w:r>
              <w:rPr>
                <w:rFonts w:eastAsiaTheme="minorEastAsia"/>
                <w:szCs w:val="21"/>
              </w:rPr>
              <w:t>C</w:t>
            </w:r>
          </w:p>
        </w:tc>
        <w:tc>
          <w:tcPr>
            <w:tcW w:w="1085" w:type="pct"/>
            <w:vMerge w:val="restart"/>
            <w:vAlign w:val="center"/>
          </w:tcPr>
          <w:p>
            <w:pPr>
              <w:jc w:val="center"/>
              <w:rPr>
                <w:rFonts w:eastAsiaTheme="minorEastAsia"/>
                <w:szCs w:val="21"/>
              </w:rPr>
            </w:pPr>
            <w:r>
              <w:rPr>
                <w:rFonts w:eastAsiaTheme="minorEastAsia"/>
                <w:szCs w:val="21"/>
              </w:rPr>
              <w:t>GB/T 1499.2</w:t>
            </w:r>
            <w:r>
              <w:t>—</w:t>
            </w:r>
            <w:r>
              <w:rPr>
                <w:rFonts w:eastAsiaTheme="minorEastAsia"/>
                <w:szCs w:val="21"/>
              </w:rPr>
              <w:t>2018</w:t>
            </w:r>
          </w:p>
        </w:tc>
        <w:tc>
          <w:tcPr>
            <w:tcW w:w="1287" w:type="pct"/>
            <w:vMerge w:val="restart"/>
            <w:vAlign w:val="center"/>
          </w:tcPr>
          <w:p>
            <w:pPr>
              <w:jc w:val="center"/>
              <w:rPr>
                <w:rFonts w:eastAsiaTheme="minorEastAsia"/>
                <w:szCs w:val="21"/>
              </w:rPr>
            </w:pPr>
            <w:r>
              <w:rPr>
                <w:rFonts w:eastAsiaTheme="minorEastAsia"/>
                <w:szCs w:val="21"/>
              </w:rPr>
              <w:t>GB/T 223.5</w:t>
            </w:r>
            <w:r>
              <w:t>—</w:t>
            </w:r>
            <w:r>
              <w:rPr>
                <w:rFonts w:eastAsiaTheme="minorEastAsia"/>
                <w:szCs w:val="21"/>
              </w:rPr>
              <w:t>2008</w:t>
            </w:r>
          </w:p>
          <w:p>
            <w:pPr>
              <w:jc w:val="center"/>
              <w:rPr>
                <w:rFonts w:eastAsiaTheme="minorEastAsia"/>
                <w:szCs w:val="21"/>
              </w:rPr>
            </w:pPr>
            <w:r>
              <w:rPr>
                <w:rFonts w:eastAsiaTheme="minorEastAsia"/>
                <w:szCs w:val="21"/>
              </w:rPr>
              <w:t>GB/T 223.11</w:t>
            </w:r>
            <w:r>
              <w:t>—</w:t>
            </w:r>
            <w:r>
              <w:rPr>
                <w:rFonts w:eastAsiaTheme="minorEastAsia"/>
                <w:szCs w:val="21"/>
              </w:rPr>
              <w:t>2008</w:t>
            </w:r>
          </w:p>
          <w:p>
            <w:pPr>
              <w:jc w:val="center"/>
              <w:rPr>
                <w:rFonts w:eastAsiaTheme="minorEastAsia"/>
                <w:szCs w:val="21"/>
              </w:rPr>
            </w:pPr>
            <w:r>
              <w:rPr>
                <w:rFonts w:eastAsiaTheme="minorEastAsia"/>
                <w:szCs w:val="21"/>
              </w:rPr>
              <w:t>GB/T 223.12</w:t>
            </w:r>
            <w:r>
              <w:t>—</w:t>
            </w:r>
            <w:r>
              <w:rPr>
                <w:rFonts w:eastAsiaTheme="minorEastAsia"/>
                <w:szCs w:val="21"/>
              </w:rPr>
              <w:t>1991</w:t>
            </w:r>
          </w:p>
          <w:p>
            <w:pPr>
              <w:jc w:val="center"/>
              <w:rPr>
                <w:rFonts w:eastAsiaTheme="minorEastAsia"/>
                <w:szCs w:val="21"/>
              </w:rPr>
            </w:pPr>
            <w:r>
              <w:rPr>
                <w:rFonts w:eastAsiaTheme="minorEastAsia"/>
                <w:szCs w:val="21"/>
              </w:rPr>
              <w:t>GB/T 223.14</w:t>
            </w:r>
            <w:r>
              <w:t>—</w:t>
            </w:r>
            <w:r>
              <w:rPr>
                <w:rFonts w:eastAsiaTheme="minorEastAsia"/>
                <w:szCs w:val="21"/>
              </w:rPr>
              <w:t>2000</w:t>
            </w:r>
          </w:p>
          <w:p>
            <w:pPr>
              <w:jc w:val="center"/>
              <w:rPr>
                <w:rFonts w:eastAsiaTheme="minorEastAsia"/>
                <w:szCs w:val="21"/>
              </w:rPr>
            </w:pPr>
            <w:r>
              <w:rPr>
                <w:rFonts w:eastAsiaTheme="minorEastAsia"/>
                <w:szCs w:val="21"/>
              </w:rPr>
              <w:t>GB/T 223.19</w:t>
            </w:r>
            <w:r>
              <w:t>—</w:t>
            </w:r>
            <w:r>
              <w:rPr>
                <w:rFonts w:eastAsiaTheme="minorEastAsia"/>
                <w:szCs w:val="21"/>
              </w:rPr>
              <w:t>1989</w:t>
            </w:r>
          </w:p>
          <w:p>
            <w:pPr>
              <w:jc w:val="center"/>
              <w:rPr>
                <w:rFonts w:eastAsiaTheme="minorEastAsia"/>
                <w:szCs w:val="21"/>
              </w:rPr>
            </w:pPr>
            <w:r>
              <w:rPr>
                <w:rFonts w:eastAsiaTheme="minorEastAsia"/>
                <w:szCs w:val="21"/>
              </w:rPr>
              <w:t>GB/T 223.23</w:t>
            </w:r>
            <w:r>
              <w:t>—</w:t>
            </w:r>
            <w:r>
              <w:rPr>
                <w:rFonts w:eastAsiaTheme="minorEastAsia"/>
                <w:szCs w:val="21"/>
              </w:rPr>
              <w:t>2008</w:t>
            </w:r>
          </w:p>
          <w:p>
            <w:pPr>
              <w:jc w:val="center"/>
              <w:rPr>
                <w:rFonts w:eastAsiaTheme="minorEastAsia"/>
                <w:szCs w:val="21"/>
              </w:rPr>
            </w:pPr>
            <w:r>
              <w:rPr>
                <w:rFonts w:eastAsiaTheme="minorEastAsia"/>
                <w:szCs w:val="21"/>
              </w:rPr>
              <w:t>GB/T 223.26</w:t>
            </w:r>
            <w:r>
              <w:t>—</w:t>
            </w:r>
            <w:r>
              <w:rPr>
                <w:rFonts w:eastAsiaTheme="minorEastAsia"/>
                <w:szCs w:val="21"/>
              </w:rPr>
              <w:t>2008</w:t>
            </w:r>
          </w:p>
          <w:p>
            <w:pPr>
              <w:jc w:val="center"/>
              <w:rPr>
                <w:rFonts w:eastAsiaTheme="minorEastAsia"/>
                <w:szCs w:val="21"/>
              </w:rPr>
            </w:pPr>
            <w:r>
              <w:rPr>
                <w:rFonts w:eastAsiaTheme="minorEastAsia"/>
                <w:szCs w:val="21"/>
              </w:rPr>
              <w:t>GB/T 223.40</w:t>
            </w:r>
            <w:r>
              <w:t>—</w:t>
            </w:r>
            <w:r>
              <w:rPr>
                <w:rFonts w:eastAsiaTheme="minorEastAsia"/>
                <w:szCs w:val="21"/>
              </w:rPr>
              <w:t>2007</w:t>
            </w:r>
          </w:p>
          <w:p>
            <w:pPr>
              <w:jc w:val="center"/>
              <w:rPr>
                <w:rFonts w:eastAsiaTheme="minorEastAsia"/>
                <w:szCs w:val="21"/>
              </w:rPr>
            </w:pPr>
            <w:r>
              <w:rPr>
                <w:rFonts w:eastAsiaTheme="minorEastAsia"/>
                <w:szCs w:val="21"/>
              </w:rPr>
              <w:t>GB/T 223.59</w:t>
            </w:r>
            <w:r>
              <w:t>—</w:t>
            </w:r>
            <w:r>
              <w:rPr>
                <w:rFonts w:eastAsiaTheme="minorEastAsia"/>
                <w:szCs w:val="21"/>
              </w:rPr>
              <w:t>2008</w:t>
            </w:r>
          </w:p>
          <w:p>
            <w:pPr>
              <w:jc w:val="center"/>
              <w:rPr>
                <w:rFonts w:eastAsiaTheme="minorEastAsia"/>
                <w:szCs w:val="21"/>
              </w:rPr>
            </w:pPr>
            <w:r>
              <w:rPr>
                <w:rFonts w:eastAsiaTheme="minorEastAsia"/>
                <w:szCs w:val="21"/>
              </w:rPr>
              <w:t>GB/T 223.63</w:t>
            </w:r>
            <w:r>
              <w:t>—</w:t>
            </w:r>
            <w:r>
              <w:rPr>
                <w:rFonts w:eastAsiaTheme="minorEastAsia"/>
                <w:szCs w:val="21"/>
              </w:rPr>
              <w:t>2022</w:t>
            </w:r>
          </w:p>
          <w:p>
            <w:pPr>
              <w:jc w:val="center"/>
              <w:rPr>
                <w:rFonts w:eastAsiaTheme="minorEastAsia"/>
                <w:szCs w:val="21"/>
              </w:rPr>
            </w:pPr>
            <w:r>
              <w:rPr>
                <w:rFonts w:eastAsiaTheme="minorEastAsia"/>
                <w:szCs w:val="21"/>
              </w:rPr>
              <w:t>GB/T 223.85</w:t>
            </w:r>
            <w:r>
              <w:t>—</w:t>
            </w:r>
            <w:r>
              <w:rPr>
                <w:rFonts w:eastAsiaTheme="minorEastAsia"/>
                <w:szCs w:val="21"/>
              </w:rPr>
              <w:t>2009</w:t>
            </w:r>
          </w:p>
          <w:p>
            <w:pPr>
              <w:jc w:val="center"/>
              <w:rPr>
                <w:rFonts w:eastAsiaTheme="minorEastAsia"/>
                <w:szCs w:val="21"/>
              </w:rPr>
            </w:pPr>
            <w:r>
              <w:rPr>
                <w:rFonts w:eastAsiaTheme="minorEastAsia"/>
                <w:szCs w:val="21"/>
              </w:rPr>
              <w:t>GB/T 223.86</w:t>
            </w:r>
            <w:r>
              <w:t>—</w:t>
            </w:r>
            <w:r>
              <w:rPr>
                <w:rFonts w:eastAsiaTheme="minorEastAsia"/>
                <w:szCs w:val="21"/>
              </w:rPr>
              <w:t>2009</w:t>
            </w:r>
          </w:p>
          <w:p>
            <w:pPr>
              <w:jc w:val="center"/>
              <w:rPr>
                <w:rFonts w:eastAsiaTheme="minorEastAsia"/>
                <w:szCs w:val="21"/>
              </w:rPr>
            </w:pPr>
            <w:r>
              <w:rPr>
                <w:rFonts w:eastAsiaTheme="minorEastAsia"/>
                <w:szCs w:val="21"/>
              </w:rPr>
              <w:t>GB/T 4336</w:t>
            </w:r>
            <w:r>
              <w:t>—</w:t>
            </w:r>
            <w:r>
              <w:rPr>
                <w:rFonts w:eastAsiaTheme="minorEastAsia"/>
                <w:szCs w:val="21"/>
              </w:rPr>
              <w:t>2016</w:t>
            </w:r>
          </w:p>
          <w:p>
            <w:pPr>
              <w:jc w:val="center"/>
              <w:rPr>
                <w:rFonts w:eastAsiaTheme="minorEastAsia"/>
                <w:szCs w:val="21"/>
              </w:rPr>
            </w:pPr>
            <w:r>
              <w:rPr>
                <w:rFonts w:eastAsiaTheme="minorEastAsia"/>
                <w:szCs w:val="21"/>
              </w:rPr>
              <w:t>GB/T 20123</w:t>
            </w:r>
            <w:r>
              <w:t>—</w:t>
            </w:r>
            <w:r>
              <w:rPr>
                <w:rFonts w:eastAsiaTheme="minorEastAsia"/>
                <w:szCs w:val="21"/>
              </w:rPr>
              <w:t>2006</w:t>
            </w:r>
          </w:p>
          <w:p>
            <w:pPr>
              <w:jc w:val="center"/>
              <w:rPr>
                <w:rFonts w:eastAsiaTheme="minorEastAsia"/>
                <w:b/>
                <w:bCs/>
                <w:szCs w:val="21"/>
              </w:rPr>
            </w:pPr>
            <w:r>
              <w:rPr>
                <w:rFonts w:eastAsiaTheme="minorEastAsia"/>
                <w:szCs w:val="21"/>
              </w:rPr>
              <w:t>GB/T 20125</w:t>
            </w:r>
            <w:r>
              <w:t>—</w:t>
            </w:r>
            <w:r>
              <w:rPr>
                <w:rFonts w:eastAsiaTheme="minorEastAsia"/>
                <w:szCs w:val="21"/>
              </w:rPr>
              <w:t>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52" w:type="pct"/>
            <w:vMerge w:val="continue"/>
            <w:vAlign w:val="center"/>
          </w:tcPr>
          <w:p>
            <w:pPr>
              <w:jc w:val="center"/>
              <w:rPr>
                <w:rFonts w:eastAsiaTheme="minorEastAsia"/>
                <w:szCs w:val="21"/>
              </w:rPr>
            </w:pPr>
          </w:p>
        </w:tc>
        <w:tc>
          <w:tcPr>
            <w:tcW w:w="563" w:type="pct"/>
            <w:vMerge w:val="continue"/>
            <w:vAlign w:val="center"/>
          </w:tcPr>
          <w:p>
            <w:pPr>
              <w:jc w:val="center"/>
              <w:rPr>
                <w:rFonts w:eastAsiaTheme="minorEastAsia"/>
                <w:szCs w:val="21"/>
              </w:rPr>
            </w:pPr>
          </w:p>
        </w:tc>
        <w:tc>
          <w:tcPr>
            <w:tcW w:w="1713" w:type="pct"/>
            <w:vAlign w:val="center"/>
          </w:tcPr>
          <w:p>
            <w:pPr>
              <w:jc w:val="center"/>
              <w:rPr>
                <w:rFonts w:eastAsiaTheme="minorEastAsia"/>
                <w:szCs w:val="21"/>
              </w:rPr>
            </w:pPr>
            <w:r>
              <w:rPr>
                <w:rFonts w:eastAsiaTheme="minorEastAsia"/>
                <w:szCs w:val="21"/>
              </w:rPr>
              <w:t>Si</w:t>
            </w:r>
          </w:p>
        </w:tc>
        <w:tc>
          <w:tcPr>
            <w:tcW w:w="1085" w:type="pct"/>
            <w:vMerge w:val="continue"/>
            <w:vAlign w:val="center"/>
          </w:tcPr>
          <w:p>
            <w:pPr>
              <w:jc w:val="center"/>
              <w:rPr>
                <w:rFonts w:eastAsiaTheme="minorEastAsia"/>
                <w:szCs w:val="21"/>
              </w:rPr>
            </w:pPr>
          </w:p>
        </w:tc>
        <w:tc>
          <w:tcPr>
            <w:tcW w:w="1287" w:type="pct"/>
            <w:vMerge w:val="continue"/>
            <w:vAlign w:val="center"/>
          </w:tcPr>
          <w:p>
            <w:pPr>
              <w:jc w:val="center"/>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52" w:type="pct"/>
            <w:vMerge w:val="continue"/>
            <w:vAlign w:val="center"/>
          </w:tcPr>
          <w:p>
            <w:pPr>
              <w:jc w:val="center"/>
              <w:rPr>
                <w:rFonts w:eastAsiaTheme="minorEastAsia"/>
                <w:szCs w:val="21"/>
              </w:rPr>
            </w:pPr>
          </w:p>
        </w:tc>
        <w:tc>
          <w:tcPr>
            <w:tcW w:w="563" w:type="pct"/>
            <w:vMerge w:val="continue"/>
            <w:vAlign w:val="center"/>
          </w:tcPr>
          <w:p>
            <w:pPr>
              <w:jc w:val="center"/>
              <w:rPr>
                <w:rFonts w:eastAsiaTheme="minorEastAsia"/>
                <w:szCs w:val="21"/>
              </w:rPr>
            </w:pPr>
          </w:p>
        </w:tc>
        <w:tc>
          <w:tcPr>
            <w:tcW w:w="1713" w:type="pct"/>
            <w:vAlign w:val="center"/>
          </w:tcPr>
          <w:p>
            <w:pPr>
              <w:jc w:val="center"/>
              <w:rPr>
                <w:rFonts w:eastAsiaTheme="minorEastAsia"/>
                <w:szCs w:val="21"/>
              </w:rPr>
            </w:pPr>
            <w:r>
              <w:rPr>
                <w:rFonts w:eastAsiaTheme="minorEastAsia"/>
                <w:szCs w:val="21"/>
              </w:rPr>
              <w:t>Mn</w:t>
            </w:r>
          </w:p>
        </w:tc>
        <w:tc>
          <w:tcPr>
            <w:tcW w:w="1085" w:type="pct"/>
            <w:vMerge w:val="continue"/>
            <w:vAlign w:val="center"/>
          </w:tcPr>
          <w:p>
            <w:pPr>
              <w:jc w:val="center"/>
              <w:rPr>
                <w:rFonts w:eastAsiaTheme="minorEastAsia"/>
                <w:szCs w:val="21"/>
              </w:rPr>
            </w:pPr>
          </w:p>
        </w:tc>
        <w:tc>
          <w:tcPr>
            <w:tcW w:w="1287" w:type="pct"/>
            <w:vMerge w:val="continue"/>
            <w:vAlign w:val="center"/>
          </w:tcPr>
          <w:p>
            <w:pPr>
              <w:jc w:val="center"/>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52" w:type="pct"/>
            <w:vMerge w:val="continue"/>
            <w:vAlign w:val="center"/>
          </w:tcPr>
          <w:p>
            <w:pPr>
              <w:jc w:val="center"/>
              <w:rPr>
                <w:rFonts w:eastAsiaTheme="minorEastAsia"/>
                <w:szCs w:val="21"/>
              </w:rPr>
            </w:pPr>
          </w:p>
        </w:tc>
        <w:tc>
          <w:tcPr>
            <w:tcW w:w="563" w:type="pct"/>
            <w:vMerge w:val="continue"/>
            <w:vAlign w:val="center"/>
          </w:tcPr>
          <w:p>
            <w:pPr>
              <w:jc w:val="center"/>
              <w:rPr>
                <w:rFonts w:eastAsiaTheme="minorEastAsia"/>
                <w:szCs w:val="21"/>
              </w:rPr>
            </w:pPr>
          </w:p>
        </w:tc>
        <w:tc>
          <w:tcPr>
            <w:tcW w:w="1713" w:type="pct"/>
            <w:vAlign w:val="center"/>
          </w:tcPr>
          <w:p>
            <w:pPr>
              <w:jc w:val="center"/>
              <w:rPr>
                <w:rFonts w:eastAsiaTheme="minorEastAsia"/>
                <w:szCs w:val="21"/>
              </w:rPr>
            </w:pPr>
            <w:r>
              <w:rPr>
                <w:rFonts w:eastAsiaTheme="minorEastAsia"/>
                <w:szCs w:val="21"/>
              </w:rPr>
              <w:t>P</w:t>
            </w:r>
          </w:p>
        </w:tc>
        <w:tc>
          <w:tcPr>
            <w:tcW w:w="1085" w:type="pct"/>
            <w:vMerge w:val="continue"/>
            <w:vAlign w:val="center"/>
          </w:tcPr>
          <w:p>
            <w:pPr>
              <w:jc w:val="center"/>
              <w:rPr>
                <w:rFonts w:eastAsiaTheme="minorEastAsia"/>
                <w:szCs w:val="21"/>
              </w:rPr>
            </w:pPr>
          </w:p>
        </w:tc>
        <w:tc>
          <w:tcPr>
            <w:tcW w:w="1287" w:type="pct"/>
            <w:vMerge w:val="continue"/>
            <w:vAlign w:val="center"/>
          </w:tcPr>
          <w:p>
            <w:pPr>
              <w:jc w:val="center"/>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52" w:type="pct"/>
            <w:vMerge w:val="continue"/>
            <w:vAlign w:val="center"/>
          </w:tcPr>
          <w:p>
            <w:pPr>
              <w:jc w:val="center"/>
              <w:rPr>
                <w:rFonts w:eastAsiaTheme="minorEastAsia"/>
                <w:szCs w:val="21"/>
              </w:rPr>
            </w:pPr>
          </w:p>
        </w:tc>
        <w:tc>
          <w:tcPr>
            <w:tcW w:w="563" w:type="pct"/>
            <w:vMerge w:val="continue"/>
            <w:vAlign w:val="center"/>
          </w:tcPr>
          <w:p>
            <w:pPr>
              <w:jc w:val="center"/>
              <w:rPr>
                <w:rFonts w:eastAsiaTheme="minorEastAsia"/>
                <w:szCs w:val="21"/>
              </w:rPr>
            </w:pPr>
          </w:p>
        </w:tc>
        <w:tc>
          <w:tcPr>
            <w:tcW w:w="1713" w:type="pct"/>
            <w:vAlign w:val="center"/>
          </w:tcPr>
          <w:p>
            <w:pPr>
              <w:jc w:val="center"/>
              <w:rPr>
                <w:rFonts w:eastAsiaTheme="minorEastAsia"/>
                <w:szCs w:val="21"/>
              </w:rPr>
            </w:pPr>
            <w:r>
              <w:rPr>
                <w:rFonts w:eastAsiaTheme="minorEastAsia"/>
                <w:szCs w:val="21"/>
              </w:rPr>
              <w:t>S</w:t>
            </w:r>
          </w:p>
        </w:tc>
        <w:tc>
          <w:tcPr>
            <w:tcW w:w="1085" w:type="pct"/>
            <w:vMerge w:val="continue"/>
            <w:vAlign w:val="center"/>
          </w:tcPr>
          <w:p>
            <w:pPr>
              <w:jc w:val="center"/>
              <w:rPr>
                <w:rFonts w:eastAsiaTheme="minorEastAsia"/>
                <w:szCs w:val="21"/>
              </w:rPr>
            </w:pPr>
          </w:p>
        </w:tc>
        <w:tc>
          <w:tcPr>
            <w:tcW w:w="1287" w:type="pct"/>
            <w:vMerge w:val="continue"/>
            <w:vAlign w:val="center"/>
          </w:tcPr>
          <w:p>
            <w:pPr>
              <w:jc w:val="center"/>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52" w:type="pct"/>
            <w:vMerge w:val="continue"/>
            <w:vAlign w:val="center"/>
          </w:tcPr>
          <w:p>
            <w:pPr>
              <w:jc w:val="center"/>
              <w:rPr>
                <w:rFonts w:eastAsiaTheme="minorEastAsia"/>
                <w:szCs w:val="21"/>
              </w:rPr>
            </w:pPr>
          </w:p>
        </w:tc>
        <w:tc>
          <w:tcPr>
            <w:tcW w:w="563" w:type="pct"/>
            <w:vMerge w:val="continue"/>
            <w:vAlign w:val="center"/>
          </w:tcPr>
          <w:p>
            <w:pPr>
              <w:jc w:val="center"/>
              <w:rPr>
                <w:rFonts w:eastAsiaTheme="minorEastAsia"/>
                <w:szCs w:val="21"/>
              </w:rPr>
            </w:pPr>
          </w:p>
        </w:tc>
        <w:tc>
          <w:tcPr>
            <w:tcW w:w="1713" w:type="pct"/>
            <w:vAlign w:val="center"/>
          </w:tcPr>
          <w:p>
            <w:pPr>
              <w:jc w:val="center"/>
              <w:rPr>
                <w:rFonts w:eastAsiaTheme="minorEastAsia"/>
                <w:szCs w:val="21"/>
              </w:rPr>
            </w:pPr>
            <w:r>
              <w:rPr>
                <w:rFonts w:eastAsiaTheme="minorEastAsia"/>
                <w:szCs w:val="21"/>
              </w:rPr>
              <w:t>C</w:t>
            </w:r>
            <w:r>
              <w:rPr>
                <w:rFonts w:eastAsiaTheme="minorEastAsia"/>
                <w:szCs w:val="21"/>
                <w:vertAlign w:val="subscript"/>
              </w:rPr>
              <w:t>eq</w:t>
            </w:r>
          </w:p>
        </w:tc>
        <w:tc>
          <w:tcPr>
            <w:tcW w:w="1085" w:type="pct"/>
            <w:vMerge w:val="continue"/>
            <w:vAlign w:val="center"/>
          </w:tcPr>
          <w:p>
            <w:pPr>
              <w:jc w:val="center"/>
              <w:rPr>
                <w:rFonts w:eastAsiaTheme="minorEastAsia"/>
                <w:szCs w:val="21"/>
              </w:rPr>
            </w:pPr>
          </w:p>
        </w:tc>
        <w:tc>
          <w:tcPr>
            <w:tcW w:w="1287" w:type="pct"/>
            <w:vMerge w:val="continue"/>
            <w:vAlign w:val="center"/>
          </w:tcPr>
          <w:p>
            <w:pPr>
              <w:jc w:val="center"/>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52" w:type="pct"/>
            <w:vMerge w:val="restart"/>
            <w:vAlign w:val="center"/>
          </w:tcPr>
          <w:p>
            <w:pPr>
              <w:jc w:val="center"/>
              <w:rPr>
                <w:rFonts w:eastAsiaTheme="minorEastAsia"/>
                <w:szCs w:val="21"/>
              </w:rPr>
            </w:pPr>
            <w:r>
              <w:rPr>
                <w:rFonts w:eastAsiaTheme="minorEastAsia"/>
                <w:szCs w:val="21"/>
              </w:rPr>
              <w:t>4</w:t>
            </w:r>
          </w:p>
        </w:tc>
        <w:tc>
          <w:tcPr>
            <w:tcW w:w="563" w:type="pct"/>
            <w:vMerge w:val="restart"/>
            <w:vAlign w:val="center"/>
          </w:tcPr>
          <w:p>
            <w:pPr>
              <w:jc w:val="center"/>
              <w:rPr>
                <w:rFonts w:eastAsiaTheme="minorEastAsia"/>
                <w:szCs w:val="21"/>
              </w:rPr>
            </w:pPr>
            <w:r>
              <w:rPr>
                <w:rFonts w:eastAsiaTheme="minorEastAsia"/>
                <w:szCs w:val="21"/>
              </w:rPr>
              <w:t>尺寸外形</w:t>
            </w:r>
          </w:p>
        </w:tc>
        <w:tc>
          <w:tcPr>
            <w:tcW w:w="1713" w:type="pct"/>
            <w:vAlign w:val="center"/>
          </w:tcPr>
          <w:p>
            <w:pPr>
              <w:jc w:val="center"/>
              <w:rPr>
                <w:rFonts w:eastAsiaTheme="minorEastAsia"/>
                <w:szCs w:val="21"/>
              </w:rPr>
            </w:pPr>
            <w:r>
              <w:rPr>
                <w:rFonts w:eastAsiaTheme="minorEastAsia"/>
                <w:szCs w:val="21"/>
              </w:rPr>
              <w:t>横肋高</w:t>
            </w:r>
          </w:p>
        </w:tc>
        <w:tc>
          <w:tcPr>
            <w:tcW w:w="1085" w:type="pct"/>
            <w:vMerge w:val="restart"/>
            <w:vAlign w:val="center"/>
          </w:tcPr>
          <w:p>
            <w:pPr>
              <w:jc w:val="center"/>
              <w:rPr>
                <w:rFonts w:eastAsiaTheme="minorEastAsia"/>
                <w:szCs w:val="21"/>
              </w:rPr>
            </w:pPr>
            <w:r>
              <w:rPr>
                <w:rFonts w:eastAsiaTheme="minorEastAsia"/>
                <w:szCs w:val="21"/>
              </w:rPr>
              <w:t>GB/T 1499.2</w:t>
            </w:r>
            <w:r>
              <w:t>—</w:t>
            </w:r>
            <w:r>
              <w:rPr>
                <w:rFonts w:eastAsiaTheme="minorEastAsia"/>
                <w:szCs w:val="21"/>
              </w:rPr>
              <w:t>2018</w:t>
            </w:r>
          </w:p>
        </w:tc>
        <w:tc>
          <w:tcPr>
            <w:tcW w:w="1287" w:type="pct"/>
            <w:vAlign w:val="center"/>
          </w:tcPr>
          <w:p>
            <w:pPr>
              <w:jc w:val="center"/>
              <w:rPr>
                <w:rFonts w:eastAsiaTheme="minorEastAsia"/>
                <w:szCs w:val="21"/>
              </w:rPr>
            </w:pPr>
            <w:r>
              <w:rPr>
                <w:rFonts w:eastAsiaTheme="minorEastAsia"/>
                <w:szCs w:val="21"/>
              </w:rPr>
              <w:t>GB/T 1499.2</w:t>
            </w:r>
            <w:r>
              <w:t>—</w:t>
            </w:r>
            <w:r>
              <w:rPr>
                <w:rFonts w:eastAsiaTheme="minorEastAsia"/>
                <w:szCs w:val="21"/>
              </w:rPr>
              <w:t>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52" w:type="pct"/>
            <w:vMerge w:val="continue"/>
            <w:vAlign w:val="center"/>
          </w:tcPr>
          <w:p>
            <w:pPr>
              <w:jc w:val="center"/>
              <w:rPr>
                <w:rFonts w:eastAsiaTheme="minorEastAsia"/>
                <w:szCs w:val="21"/>
              </w:rPr>
            </w:pPr>
          </w:p>
        </w:tc>
        <w:tc>
          <w:tcPr>
            <w:tcW w:w="563" w:type="pct"/>
            <w:vMerge w:val="continue"/>
            <w:vAlign w:val="center"/>
          </w:tcPr>
          <w:p>
            <w:pPr>
              <w:jc w:val="center"/>
              <w:rPr>
                <w:rFonts w:eastAsiaTheme="minorEastAsia"/>
                <w:szCs w:val="21"/>
              </w:rPr>
            </w:pPr>
          </w:p>
        </w:tc>
        <w:tc>
          <w:tcPr>
            <w:tcW w:w="1713" w:type="pct"/>
            <w:vAlign w:val="center"/>
          </w:tcPr>
          <w:p>
            <w:pPr>
              <w:jc w:val="center"/>
              <w:rPr>
                <w:rFonts w:eastAsiaTheme="minorEastAsia"/>
                <w:szCs w:val="21"/>
              </w:rPr>
            </w:pPr>
            <w:r>
              <w:rPr>
                <w:rFonts w:eastAsiaTheme="minorEastAsia"/>
                <w:szCs w:val="21"/>
              </w:rPr>
              <w:t>肋间距</w:t>
            </w:r>
          </w:p>
        </w:tc>
        <w:tc>
          <w:tcPr>
            <w:tcW w:w="1085" w:type="pct"/>
            <w:vMerge w:val="continue"/>
            <w:vAlign w:val="center"/>
          </w:tcPr>
          <w:p>
            <w:pPr>
              <w:jc w:val="center"/>
              <w:rPr>
                <w:rFonts w:eastAsiaTheme="minorEastAsia"/>
                <w:szCs w:val="21"/>
              </w:rPr>
            </w:pPr>
          </w:p>
        </w:tc>
        <w:tc>
          <w:tcPr>
            <w:tcW w:w="1287" w:type="pct"/>
            <w:vAlign w:val="center"/>
          </w:tcPr>
          <w:p>
            <w:pPr>
              <w:jc w:val="center"/>
              <w:rPr>
                <w:rFonts w:eastAsiaTheme="minorEastAsia"/>
                <w:szCs w:val="21"/>
              </w:rPr>
            </w:pPr>
            <w:r>
              <w:rPr>
                <w:rFonts w:eastAsiaTheme="minorEastAsia"/>
                <w:szCs w:val="21"/>
              </w:rPr>
              <w:t>GB/T 1499.2</w:t>
            </w:r>
            <w:r>
              <w:t>—</w:t>
            </w:r>
            <w:r>
              <w:rPr>
                <w:rFonts w:eastAsiaTheme="minorEastAsia"/>
                <w:szCs w:val="21"/>
              </w:rPr>
              <w:t>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52" w:type="pct"/>
            <w:vMerge w:val="continue"/>
            <w:vAlign w:val="center"/>
          </w:tcPr>
          <w:p>
            <w:pPr>
              <w:jc w:val="center"/>
              <w:rPr>
                <w:rFonts w:eastAsiaTheme="minorEastAsia"/>
                <w:szCs w:val="21"/>
              </w:rPr>
            </w:pPr>
          </w:p>
        </w:tc>
        <w:tc>
          <w:tcPr>
            <w:tcW w:w="563" w:type="pct"/>
            <w:vMerge w:val="continue"/>
            <w:vAlign w:val="center"/>
          </w:tcPr>
          <w:p>
            <w:pPr>
              <w:jc w:val="center"/>
              <w:rPr>
                <w:rFonts w:eastAsiaTheme="minorEastAsia"/>
                <w:szCs w:val="21"/>
              </w:rPr>
            </w:pPr>
          </w:p>
        </w:tc>
        <w:tc>
          <w:tcPr>
            <w:tcW w:w="1713" w:type="pct"/>
            <w:vAlign w:val="center"/>
          </w:tcPr>
          <w:p>
            <w:pPr>
              <w:jc w:val="center"/>
              <w:rPr>
                <w:rFonts w:eastAsiaTheme="minorEastAsia"/>
                <w:szCs w:val="21"/>
              </w:rPr>
            </w:pPr>
            <w:bookmarkStart w:id="0" w:name="_Hlk535941625"/>
            <w:r>
              <w:rPr>
                <w:rFonts w:eastAsiaTheme="minorEastAsia"/>
                <w:szCs w:val="21"/>
              </w:rPr>
              <w:t>横肋末端最大间隙</w:t>
            </w:r>
            <w:bookmarkEnd w:id="0"/>
          </w:p>
        </w:tc>
        <w:tc>
          <w:tcPr>
            <w:tcW w:w="1085" w:type="pct"/>
            <w:vMerge w:val="continue"/>
            <w:vAlign w:val="center"/>
          </w:tcPr>
          <w:p>
            <w:pPr>
              <w:jc w:val="center"/>
              <w:rPr>
                <w:rFonts w:eastAsiaTheme="minorEastAsia"/>
                <w:szCs w:val="21"/>
              </w:rPr>
            </w:pPr>
          </w:p>
        </w:tc>
        <w:tc>
          <w:tcPr>
            <w:tcW w:w="1287" w:type="pct"/>
            <w:vAlign w:val="center"/>
          </w:tcPr>
          <w:p>
            <w:pPr>
              <w:jc w:val="center"/>
              <w:rPr>
                <w:rFonts w:eastAsiaTheme="minorEastAsia"/>
                <w:szCs w:val="21"/>
              </w:rPr>
            </w:pPr>
            <w:r>
              <w:rPr>
                <w:rFonts w:eastAsiaTheme="minorEastAsia"/>
                <w:szCs w:val="21"/>
              </w:rPr>
              <w:t>GB/T 1499.2</w:t>
            </w:r>
            <w:r>
              <w:t>—</w:t>
            </w:r>
            <w:r>
              <w:rPr>
                <w:rFonts w:eastAsiaTheme="minorEastAsia"/>
                <w:szCs w:val="21"/>
              </w:rPr>
              <w:t>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52" w:type="pct"/>
            <w:vMerge w:val="continue"/>
            <w:vAlign w:val="center"/>
          </w:tcPr>
          <w:p>
            <w:pPr>
              <w:jc w:val="center"/>
              <w:rPr>
                <w:rFonts w:eastAsiaTheme="minorEastAsia"/>
                <w:szCs w:val="21"/>
              </w:rPr>
            </w:pPr>
          </w:p>
        </w:tc>
        <w:tc>
          <w:tcPr>
            <w:tcW w:w="563" w:type="pct"/>
            <w:vMerge w:val="continue"/>
            <w:vAlign w:val="center"/>
          </w:tcPr>
          <w:p>
            <w:pPr>
              <w:jc w:val="center"/>
              <w:rPr>
                <w:rFonts w:eastAsiaTheme="minorEastAsia"/>
                <w:szCs w:val="21"/>
              </w:rPr>
            </w:pPr>
          </w:p>
        </w:tc>
        <w:tc>
          <w:tcPr>
            <w:tcW w:w="1713" w:type="pct"/>
            <w:vAlign w:val="center"/>
          </w:tcPr>
          <w:p>
            <w:pPr>
              <w:jc w:val="center"/>
              <w:rPr>
                <w:rFonts w:eastAsiaTheme="minorEastAsia"/>
                <w:szCs w:val="21"/>
              </w:rPr>
            </w:pPr>
            <w:r>
              <w:rPr>
                <w:rFonts w:eastAsiaTheme="minorEastAsia"/>
                <w:szCs w:val="21"/>
              </w:rPr>
              <w:t>每米弯曲度</w:t>
            </w:r>
          </w:p>
        </w:tc>
        <w:tc>
          <w:tcPr>
            <w:tcW w:w="1085" w:type="pct"/>
            <w:vMerge w:val="continue"/>
            <w:vAlign w:val="center"/>
          </w:tcPr>
          <w:p>
            <w:pPr>
              <w:jc w:val="center"/>
              <w:rPr>
                <w:rFonts w:eastAsiaTheme="minorEastAsia"/>
                <w:szCs w:val="21"/>
              </w:rPr>
            </w:pPr>
          </w:p>
        </w:tc>
        <w:tc>
          <w:tcPr>
            <w:tcW w:w="1287" w:type="pct"/>
            <w:vAlign w:val="center"/>
          </w:tcPr>
          <w:p>
            <w:pPr>
              <w:jc w:val="center"/>
              <w:rPr>
                <w:rFonts w:eastAsiaTheme="minorEastAsia"/>
                <w:szCs w:val="21"/>
              </w:rPr>
            </w:pPr>
            <w:r>
              <w:rPr>
                <w:rFonts w:eastAsiaTheme="minorEastAsia"/>
                <w:szCs w:val="21"/>
              </w:rPr>
              <w:t>GB/T 1499.2</w:t>
            </w:r>
            <w:r>
              <w:t>—</w:t>
            </w:r>
            <w:r>
              <w:rPr>
                <w:rFonts w:eastAsiaTheme="minorEastAsia"/>
                <w:szCs w:val="21"/>
              </w:rPr>
              <w:t>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52" w:type="pct"/>
            <w:vAlign w:val="center"/>
          </w:tcPr>
          <w:p>
            <w:pPr>
              <w:jc w:val="center"/>
              <w:rPr>
                <w:rFonts w:eastAsiaTheme="minorEastAsia"/>
                <w:szCs w:val="21"/>
              </w:rPr>
            </w:pPr>
            <w:r>
              <w:rPr>
                <w:rFonts w:eastAsiaTheme="minorEastAsia"/>
                <w:szCs w:val="21"/>
              </w:rPr>
              <w:t>5</w:t>
            </w:r>
          </w:p>
        </w:tc>
        <w:tc>
          <w:tcPr>
            <w:tcW w:w="2276" w:type="pct"/>
            <w:gridSpan w:val="2"/>
            <w:vAlign w:val="center"/>
          </w:tcPr>
          <w:p>
            <w:pPr>
              <w:jc w:val="center"/>
              <w:rPr>
                <w:rFonts w:eastAsiaTheme="minorEastAsia"/>
                <w:szCs w:val="21"/>
              </w:rPr>
            </w:pPr>
            <w:r>
              <w:rPr>
                <w:rFonts w:eastAsiaTheme="minorEastAsia"/>
                <w:szCs w:val="21"/>
              </w:rPr>
              <w:t>重量偏差</w:t>
            </w:r>
          </w:p>
        </w:tc>
        <w:tc>
          <w:tcPr>
            <w:tcW w:w="1085" w:type="pct"/>
            <w:vAlign w:val="center"/>
          </w:tcPr>
          <w:p>
            <w:pPr>
              <w:jc w:val="center"/>
              <w:rPr>
                <w:rFonts w:eastAsiaTheme="minorEastAsia"/>
                <w:szCs w:val="21"/>
              </w:rPr>
            </w:pPr>
            <w:r>
              <w:rPr>
                <w:rFonts w:eastAsiaTheme="minorEastAsia"/>
                <w:szCs w:val="21"/>
              </w:rPr>
              <w:t>GB/T 1499.2</w:t>
            </w:r>
            <w:r>
              <w:t>—</w:t>
            </w:r>
            <w:r>
              <w:rPr>
                <w:rFonts w:eastAsiaTheme="minorEastAsia"/>
                <w:szCs w:val="21"/>
              </w:rPr>
              <w:t>2018</w:t>
            </w:r>
          </w:p>
        </w:tc>
        <w:tc>
          <w:tcPr>
            <w:tcW w:w="1287" w:type="pct"/>
            <w:vAlign w:val="center"/>
          </w:tcPr>
          <w:p>
            <w:pPr>
              <w:jc w:val="center"/>
              <w:rPr>
                <w:rFonts w:eastAsiaTheme="minorEastAsia"/>
                <w:szCs w:val="21"/>
              </w:rPr>
            </w:pPr>
            <w:r>
              <w:rPr>
                <w:rFonts w:eastAsiaTheme="minorEastAsia"/>
                <w:szCs w:val="21"/>
              </w:rPr>
              <w:t>GB/T 1499.2</w:t>
            </w:r>
            <w:r>
              <w:t>—</w:t>
            </w:r>
            <w:r>
              <w:rPr>
                <w:rFonts w:eastAsiaTheme="minorEastAsia"/>
                <w:szCs w:val="21"/>
              </w:rPr>
              <w:t>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52" w:type="pct"/>
            <w:vAlign w:val="center"/>
          </w:tcPr>
          <w:p>
            <w:pPr>
              <w:jc w:val="center"/>
              <w:rPr>
                <w:rFonts w:eastAsiaTheme="minorEastAsia"/>
                <w:szCs w:val="21"/>
              </w:rPr>
            </w:pPr>
            <w:r>
              <w:rPr>
                <w:rFonts w:eastAsiaTheme="minorEastAsia"/>
                <w:szCs w:val="21"/>
              </w:rPr>
              <w:t>6</w:t>
            </w:r>
          </w:p>
        </w:tc>
        <w:tc>
          <w:tcPr>
            <w:tcW w:w="2276" w:type="pct"/>
            <w:gridSpan w:val="2"/>
            <w:vAlign w:val="center"/>
          </w:tcPr>
          <w:p>
            <w:pPr>
              <w:jc w:val="center"/>
              <w:rPr>
                <w:rFonts w:eastAsiaTheme="minorEastAsia"/>
                <w:szCs w:val="21"/>
              </w:rPr>
            </w:pPr>
            <w:r>
              <w:rPr>
                <w:rFonts w:eastAsiaTheme="minorEastAsia"/>
                <w:szCs w:val="21"/>
              </w:rPr>
              <w:t>金相组织</w:t>
            </w:r>
          </w:p>
        </w:tc>
        <w:tc>
          <w:tcPr>
            <w:tcW w:w="1085" w:type="pct"/>
            <w:vAlign w:val="center"/>
          </w:tcPr>
          <w:p>
            <w:pPr>
              <w:jc w:val="center"/>
              <w:rPr>
                <w:rFonts w:eastAsiaTheme="minorEastAsia"/>
                <w:szCs w:val="21"/>
              </w:rPr>
            </w:pPr>
            <w:r>
              <w:rPr>
                <w:rFonts w:eastAsiaTheme="minorEastAsia"/>
                <w:szCs w:val="21"/>
              </w:rPr>
              <w:t>GB/T 1499.2</w:t>
            </w:r>
            <w:r>
              <w:t>—</w:t>
            </w:r>
            <w:r>
              <w:rPr>
                <w:rFonts w:eastAsiaTheme="minorEastAsia"/>
                <w:szCs w:val="21"/>
              </w:rPr>
              <w:t>2018</w:t>
            </w:r>
          </w:p>
        </w:tc>
        <w:tc>
          <w:tcPr>
            <w:tcW w:w="1287" w:type="pct"/>
            <w:vAlign w:val="center"/>
          </w:tcPr>
          <w:p>
            <w:pPr>
              <w:jc w:val="center"/>
              <w:rPr>
                <w:rFonts w:eastAsiaTheme="minorEastAsia"/>
                <w:szCs w:val="21"/>
              </w:rPr>
            </w:pPr>
            <w:r>
              <w:rPr>
                <w:rFonts w:eastAsiaTheme="minorEastAsia"/>
                <w:szCs w:val="21"/>
              </w:rPr>
              <w:t>GB/T 1499.2</w:t>
            </w:r>
            <w:r>
              <w:t>—</w:t>
            </w:r>
            <w:r>
              <w:rPr>
                <w:rFonts w:eastAsiaTheme="minorEastAsia"/>
                <w:szCs w:val="21"/>
              </w:rPr>
              <w:t>2018</w:t>
            </w:r>
          </w:p>
          <w:p>
            <w:pPr>
              <w:jc w:val="center"/>
              <w:rPr>
                <w:rFonts w:eastAsiaTheme="minorEastAsia"/>
                <w:szCs w:val="21"/>
              </w:rPr>
            </w:pPr>
            <w:r>
              <w:rPr>
                <w:rFonts w:eastAsiaTheme="minorEastAsia"/>
                <w:szCs w:val="21"/>
              </w:rPr>
              <w:t>GB/T 13298</w:t>
            </w:r>
            <w:r>
              <w:t>—</w:t>
            </w:r>
            <w:r>
              <w:rPr>
                <w:rFonts w:eastAsiaTheme="minorEastAsia"/>
                <w:szCs w:val="21"/>
              </w:rPr>
              <w:t xml:space="preserve">2015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52" w:type="pct"/>
            <w:vAlign w:val="center"/>
          </w:tcPr>
          <w:p>
            <w:pPr>
              <w:jc w:val="center"/>
              <w:rPr>
                <w:rFonts w:eastAsiaTheme="minorEastAsia"/>
                <w:szCs w:val="21"/>
              </w:rPr>
            </w:pPr>
            <w:r>
              <w:rPr>
                <w:rFonts w:eastAsiaTheme="minorEastAsia"/>
                <w:szCs w:val="21"/>
              </w:rPr>
              <w:t>7</w:t>
            </w:r>
          </w:p>
        </w:tc>
        <w:tc>
          <w:tcPr>
            <w:tcW w:w="2276" w:type="pct"/>
            <w:gridSpan w:val="2"/>
            <w:vAlign w:val="center"/>
          </w:tcPr>
          <w:p>
            <w:pPr>
              <w:jc w:val="center"/>
              <w:rPr>
                <w:rFonts w:eastAsiaTheme="minorEastAsia"/>
                <w:szCs w:val="21"/>
              </w:rPr>
            </w:pPr>
            <w:r>
              <w:rPr>
                <w:rFonts w:eastAsiaTheme="minorEastAsia"/>
                <w:szCs w:val="21"/>
              </w:rPr>
              <w:t>表面标志</w:t>
            </w:r>
          </w:p>
        </w:tc>
        <w:tc>
          <w:tcPr>
            <w:tcW w:w="1085" w:type="pct"/>
            <w:vAlign w:val="center"/>
          </w:tcPr>
          <w:p>
            <w:pPr>
              <w:jc w:val="center"/>
              <w:rPr>
                <w:rFonts w:eastAsiaTheme="minorEastAsia"/>
                <w:szCs w:val="21"/>
              </w:rPr>
            </w:pPr>
            <w:r>
              <w:rPr>
                <w:rFonts w:eastAsiaTheme="minorEastAsia"/>
                <w:szCs w:val="21"/>
              </w:rPr>
              <w:t>GB/T 1499.2</w:t>
            </w:r>
            <w:r>
              <w:t>—</w:t>
            </w:r>
            <w:r>
              <w:rPr>
                <w:rFonts w:eastAsiaTheme="minorEastAsia"/>
                <w:szCs w:val="21"/>
              </w:rPr>
              <w:t>2018</w:t>
            </w:r>
          </w:p>
        </w:tc>
        <w:tc>
          <w:tcPr>
            <w:tcW w:w="1287" w:type="pct"/>
            <w:vAlign w:val="center"/>
          </w:tcPr>
          <w:p>
            <w:pPr>
              <w:jc w:val="center"/>
              <w:rPr>
                <w:rFonts w:eastAsiaTheme="minorEastAsia"/>
                <w:szCs w:val="21"/>
              </w:rPr>
            </w:pPr>
            <w:r>
              <w:rPr>
                <w:rFonts w:eastAsiaTheme="minorEastAsia"/>
                <w:szCs w:val="21"/>
              </w:rPr>
              <w:t>GB/T 1499.2</w:t>
            </w:r>
            <w:r>
              <w:t>—</w:t>
            </w:r>
            <w:r>
              <w:rPr>
                <w:rFonts w:eastAsiaTheme="minorEastAsia"/>
                <w:szCs w:val="21"/>
              </w:rPr>
              <w:t>2018</w:t>
            </w:r>
          </w:p>
        </w:tc>
      </w:tr>
    </w:tbl>
    <w:p>
      <w:pPr>
        <w:jc w:val="center"/>
        <w:rPr>
          <w:rFonts w:hint="eastAsia" w:ascii="宋体" w:hAnsi="宋体" w:eastAsia="宋体" w:cs="宋体"/>
          <w:color w:val="000000"/>
          <w:szCs w:val="21"/>
          <w:lang w:eastAsia="zh-CN"/>
        </w:rPr>
      </w:pPr>
    </w:p>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eastAsiaTheme="minorEastAsia"/>
          <w:szCs w:val="21"/>
          <w:lang w:eastAsia="zh-CN"/>
        </w:rPr>
      </w:pPr>
      <w:r>
        <w:rPr>
          <w:rFonts w:eastAsiaTheme="minorEastAsia"/>
          <w:szCs w:val="21"/>
        </w:rPr>
        <w:t>表</w:t>
      </w:r>
      <w:r>
        <w:rPr>
          <w:rFonts w:hint="eastAsia" w:eastAsiaTheme="minorEastAsia"/>
          <w:szCs w:val="21"/>
          <w:lang w:val="en-US" w:eastAsia="zh-CN"/>
        </w:rPr>
        <w:t>2</w:t>
      </w:r>
      <w:r>
        <w:rPr>
          <w:rFonts w:hint="eastAsia" w:eastAsiaTheme="minorEastAsia"/>
          <w:szCs w:val="21"/>
          <w:lang w:eastAsia="zh-CN"/>
        </w:rPr>
        <w:t>热轧光圆钢筋</w:t>
      </w:r>
    </w:p>
    <w:tbl>
      <w:tblPr>
        <w:tblStyle w:val="7"/>
        <w:tblW w:w="91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6"/>
        <w:gridCol w:w="1418"/>
        <w:gridCol w:w="2212"/>
        <w:gridCol w:w="2234"/>
        <w:gridCol w:w="26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blHeader/>
          <w:jc w:val="center"/>
        </w:trPr>
        <w:tc>
          <w:tcPr>
            <w:tcW w:w="706" w:type="dxa"/>
            <w:tcBorders>
              <w:bottom w:val="single" w:color="auto" w:sz="4" w:space="0"/>
            </w:tcBorders>
            <w:noWrap w:val="0"/>
            <w:vAlign w:val="center"/>
          </w:tcPr>
          <w:p>
            <w:pPr>
              <w:jc w:val="center"/>
              <w:rPr>
                <w:szCs w:val="21"/>
              </w:rPr>
            </w:pPr>
            <w:r>
              <w:rPr>
                <w:szCs w:val="21"/>
              </w:rPr>
              <w:t>序号</w:t>
            </w:r>
          </w:p>
        </w:tc>
        <w:tc>
          <w:tcPr>
            <w:tcW w:w="3630" w:type="dxa"/>
            <w:gridSpan w:val="2"/>
            <w:tcBorders>
              <w:bottom w:val="single" w:color="auto" w:sz="4" w:space="0"/>
            </w:tcBorders>
            <w:noWrap w:val="0"/>
            <w:vAlign w:val="center"/>
          </w:tcPr>
          <w:p>
            <w:pPr>
              <w:jc w:val="center"/>
              <w:rPr>
                <w:szCs w:val="21"/>
              </w:rPr>
            </w:pPr>
            <w:r>
              <w:rPr>
                <w:szCs w:val="21"/>
              </w:rPr>
              <w:t>检验项目</w:t>
            </w:r>
          </w:p>
        </w:tc>
        <w:tc>
          <w:tcPr>
            <w:tcW w:w="2234" w:type="dxa"/>
            <w:tcBorders>
              <w:bottom w:val="single" w:color="auto" w:sz="4" w:space="0"/>
            </w:tcBorders>
            <w:noWrap w:val="0"/>
            <w:vAlign w:val="center"/>
          </w:tcPr>
          <w:p>
            <w:pPr>
              <w:jc w:val="center"/>
              <w:rPr>
                <w:szCs w:val="21"/>
              </w:rPr>
            </w:pPr>
            <w:r>
              <w:rPr>
                <w:szCs w:val="21"/>
              </w:rPr>
              <w:t>检验依据</w:t>
            </w:r>
          </w:p>
        </w:tc>
        <w:tc>
          <w:tcPr>
            <w:tcW w:w="2604" w:type="dxa"/>
            <w:tcBorders>
              <w:bottom w:val="single" w:color="auto" w:sz="4" w:space="0"/>
            </w:tcBorders>
            <w:noWrap w:val="0"/>
            <w:vAlign w:val="center"/>
          </w:tcPr>
          <w:p>
            <w:pPr>
              <w:jc w:val="center"/>
              <w:rPr>
                <w:szCs w:val="21"/>
              </w:rPr>
            </w:pPr>
            <w:r>
              <w:rPr>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706" w:type="dxa"/>
            <w:vMerge w:val="restart"/>
            <w:noWrap w:val="0"/>
            <w:vAlign w:val="center"/>
          </w:tcPr>
          <w:p>
            <w:pPr>
              <w:jc w:val="center"/>
              <w:rPr>
                <w:szCs w:val="21"/>
              </w:rPr>
            </w:pPr>
            <w:r>
              <w:rPr>
                <w:szCs w:val="21"/>
              </w:rPr>
              <w:t>1</w:t>
            </w:r>
          </w:p>
        </w:tc>
        <w:tc>
          <w:tcPr>
            <w:tcW w:w="1418" w:type="dxa"/>
            <w:vMerge w:val="restart"/>
            <w:noWrap w:val="0"/>
            <w:vAlign w:val="center"/>
          </w:tcPr>
          <w:p>
            <w:pPr>
              <w:jc w:val="center"/>
              <w:rPr>
                <w:szCs w:val="21"/>
              </w:rPr>
            </w:pPr>
            <w:r>
              <w:rPr>
                <w:szCs w:val="21"/>
              </w:rPr>
              <w:t>力学性能</w:t>
            </w:r>
          </w:p>
        </w:tc>
        <w:tc>
          <w:tcPr>
            <w:tcW w:w="2212" w:type="dxa"/>
            <w:noWrap w:val="0"/>
            <w:vAlign w:val="center"/>
          </w:tcPr>
          <w:p>
            <w:pPr>
              <w:jc w:val="center"/>
              <w:rPr>
                <w:szCs w:val="21"/>
              </w:rPr>
            </w:pPr>
            <w:r>
              <w:rPr>
                <w:szCs w:val="21"/>
              </w:rPr>
              <w:t>屈服强度</w:t>
            </w:r>
            <w:r>
              <w:rPr>
                <w:i/>
                <w:kern w:val="0"/>
                <w:szCs w:val="21"/>
              </w:rPr>
              <w:t>R</w:t>
            </w:r>
            <w:r>
              <w:rPr>
                <w:kern w:val="0"/>
                <w:szCs w:val="21"/>
                <w:vertAlign w:val="subscript"/>
              </w:rPr>
              <w:t>eL</w:t>
            </w:r>
          </w:p>
        </w:tc>
        <w:tc>
          <w:tcPr>
            <w:tcW w:w="2234" w:type="dxa"/>
            <w:vMerge w:val="restart"/>
            <w:noWrap w:val="0"/>
            <w:vAlign w:val="center"/>
          </w:tcPr>
          <w:p>
            <w:pPr>
              <w:rPr>
                <w:szCs w:val="21"/>
              </w:rPr>
            </w:pPr>
            <w:r>
              <w:rPr>
                <w:szCs w:val="21"/>
              </w:rPr>
              <w:t>GB/T 1499.1</w:t>
            </w:r>
            <w:r>
              <w:t>—2017</w:t>
            </w:r>
          </w:p>
        </w:tc>
        <w:tc>
          <w:tcPr>
            <w:tcW w:w="2604" w:type="dxa"/>
            <w:vMerge w:val="restart"/>
            <w:noWrap w:val="0"/>
            <w:vAlign w:val="center"/>
          </w:tcPr>
          <w:p>
            <w:pPr>
              <w:jc w:val="center"/>
              <w:rPr>
                <w:szCs w:val="21"/>
              </w:rPr>
            </w:pPr>
            <w:r>
              <w:rPr>
                <w:szCs w:val="21"/>
              </w:rPr>
              <w:t>GB/T 1499.1</w:t>
            </w:r>
            <w:r>
              <w:t>—2017</w:t>
            </w:r>
          </w:p>
          <w:p>
            <w:pPr>
              <w:jc w:val="center"/>
              <w:rPr>
                <w:szCs w:val="21"/>
              </w:rPr>
            </w:pPr>
            <w:r>
              <w:rPr>
                <w:szCs w:val="21"/>
              </w:rPr>
              <w:t>GB/T 28900</w:t>
            </w:r>
            <w:r>
              <w:t>—</w:t>
            </w:r>
            <w:r>
              <w:rPr>
                <w:szCs w:val="21"/>
              </w:rPr>
              <w:t>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706" w:type="dxa"/>
            <w:vMerge w:val="continue"/>
            <w:noWrap w:val="0"/>
            <w:vAlign w:val="center"/>
          </w:tcPr>
          <w:p>
            <w:pPr>
              <w:jc w:val="center"/>
              <w:rPr>
                <w:szCs w:val="21"/>
              </w:rPr>
            </w:pPr>
          </w:p>
        </w:tc>
        <w:tc>
          <w:tcPr>
            <w:tcW w:w="1418" w:type="dxa"/>
            <w:vMerge w:val="continue"/>
            <w:noWrap w:val="0"/>
            <w:vAlign w:val="center"/>
          </w:tcPr>
          <w:p>
            <w:pPr>
              <w:jc w:val="center"/>
              <w:rPr>
                <w:szCs w:val="21"/>
              </w:rPr>
            </w:pPr>
          </w:p>
        </w:tc>
        <w:tc>
          <w:tcPr>
            <w:tcW w:w="2212" w:type="dxa"/>
            <w:noWrap w:val="0"/>
            <w:vAlign w:val="center"/>
          </w:tcPr>
          <w:p>
            <w:pPr>
              <w:jc w:val="center"/>
              <w:rPr>
                <w:szCs w:val="21"/>
              </w:rPr>
            </w:pPr>
            <w:r>
              <w:rPr>
                <w:szCs w:val="21"/>
              </w:rPr>
              <w:t>抗拉强度</w:t>
            </w:r>
            <w:r>
              <w:rPr>
                <w:i/>
                <w:szCs w:val="21"/>
              </w:rPr>
              <w:t>R</w:t>
            </w:r>
            <w:r>
              <w:rPr>
                <w:szCs w:val="21"/>
                <w:vertAlign w:val="subscript"/>
              </w:rPr>
              <w:t>m</w:t>
            </w:r>
          </w:p>
        </w:tc>
        <w:tc>
          <w:tcPr>
            <w:tcW w:w="2234" w:type="dxa"/>
            <w:vMerge w:val="continue"/>
            <w:noWrap w:val="0"/>
            <w:vAlign w:val="center"/>
          </w:tcPr>
          <w:p>
            <w:pPr>
              <w:jc w:val="center"/>
              <w:rPr>
                <w:szCs w:val="21"/>
              </w:rPr>
            </w:pPr>
          </w:p>
        </w:tc>
        <w:tc>
          <w:tcPr>
            <w:tcW w:w="2604" w:type="dxa"/>
            <w:vMerge w:val="continue"/>
            <w:noWrap w:val="0"/>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706" w:type="dxa"/>
            <w:vMerge w:val="continue"/>
            <w:noWrap w:val="0"/>
            <w:vAlign w:val="center"/>
          </w:tcPr>
          <w:p>
            <w:pPr>
              <w:jc w:val="center"/>
              <w:rPr>
                <w:szCs w:val="21"/>
              </w:rPr>
            </w:pPr>
          </w:p>
        </w:tc>
        <w:tc>
          <w:tcPr>
            <w:tcW w:w="1418" w:type="dxa"/>
            <w:vMerge w:val="continue"/>
            <w:noWrap w:val="0"/>
            <w:vAlign w:val="center"/>
          </w:tcPr>
          <w:p>
            <w:pPr>
              <w:jc w:val="center"/>
              <w:rPr>
                <w:szCs w:val="21"/>
              </w:rPr>
            </w:pPr>
          </w:p>
        </w:tc>
        <w:tc>
          <w:tcPr>
            <w:tcW w:w="2212" w:type="dxa"/>
            <w:noWrap w:val="0"/>
            <w:vAlign w:val="center"/>
          </w:tcPr>
          <w:p>
            <w:pPr>
              <w:jc w:val="center"/>
              <w:rPr>
                <w:szCs w:val="21"/>
              </w:rPr>
            </w:pPr>
            <w:r>
              <w:rPr>
                <w:szCs w:val="21"/>
              </w:rPr>
              <w:t>断后伸长率</w:t>
            </w:r>
            <w:r>
              <w:rPr>
                <w:i/>
                <w:szCs w:val="21"/>
              </w:rPr>
              <w:t>A</w:t>
            </w:r>
          </w:p>
        </w:tc>
        <w:tc>
          <w:tcPr>
            <w:tcW w:w="2234" w:type="dxa"/>
            <w:vMerge w:val="continue"/>
            <w:noWrap w:val="0"/>
            <w:vAlign w:val="center"/>
          </w:tcPr>
          <w:p>
            <w:pPr>
              <w:jc w:val="center"/>
              <w:rPr>
                <w:szCs w:val="21"/>
              </w:rPr>
            </w:pPr>
          </w:p>
        </w:tc>
        <w:tc>
          <w:tcPr>
            <w:tcW w:w="2604" w:type="dxa"/>
            <w:vMerge w:val="continue"/>
            <w:noWrap w:val="0"/>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706" w:type="dxa"/>
            <w:vMerge w:val="continue"/>
            <w:noWrap w:val="0"/>
            <w:vAlign w:val="center"/>
          </w:tcPr>
          <w:p>
            <w:pPr>
              <w:jc w:val="center"/>
              <w:rPr>
                <w:szCs w:val="21"/>
              </w:rPr>
            </w:pPr>
          </w:p>
        </w:tc>
        <w:tc>
          <w:tcPr>
            <w:tcW w:w="1418" w:type="dxa"/>
            <w:vMerge w:val="continue"/>
            <w:noWrap w:val="0"/>
            <w:vAlign w:val="center"/>
          </w:tcPr>
          <w:p>
            <w:pPr>
              <w:jc w:val="center"/>
              <w:rPr>
                <w:szCs w:val="21"/>
              </w:rPr>
            </w:pPr>
          </w:p>
        </w:tc>
        <w:tc>
          <w:tcPr>
            <w:tcW w:w="2212" w:type="dxa"/>
            <w:noWrap w:val="0"/>
            <w:vAlign w:val="center"/>
          </w:tcPr>
          <w:p>
            <w:pPr>
              <w:jc w:val="center"/>
              <w:rPr>
                <w:szCs w:val="21"/>
              </w:rPr>
            </w:pPr>
            <w:r>
              <w:rPr>
                <w:szCs w:val="21"/>
              </w:rPr>
              <w:t>最大力总延伸率</w:t>
            </w:r>
            <w:r>
              <w:rPr>
                <w:i/>
                <w:szCs w:val="21"/>
              </w:rPr>
              <w:t>A</w:t>
            </w:r>
            <w:r>
              <w:rPr>
                <w:szCs w:val="21"/>
                <w:vertAlign w:val="subscript"/>
              </w:rPr>
              <w:t>gt</w:t>
            </w:r>
          </w:p>
        </w:tc>
        <w:tc>
          <w:tcPr>
            <w:tcW w:w="2234" w:type="dxa"/>
            <w:vMerge w:val="continue"/>
            <w:noWrap w:val="0"/>
            <w:vAlign w:val="center"/>
          </w:tcPr>
          <w:p>
            <w:pPr>
              <w:jc w:val="center"/>
              <w:rPr>
                <w:szCs w:val="21"/>
              </w:rPr>
            </w:pPr>
          </w:p>
        </w:tc>
        <w:tc>
          <w:tcPr>
            <w:tcW w:w="2604" w:type="dxa"/>
            <w:vMerge w:val="continue"/>
            <w:noWrap w:val="0"/>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6" w:type="dxa"/>
            <w:noWrap w:val="0"/>
            <w:vAlign w:val="center"/>
          </w:tcPr>
          <w:p>
            <w:pPr>
              <w:jc w:val="center"/>
              <w:rPr>
                <w:szCs w:val="21"/>
              </w:rPr>
            </w:pPr>
            <w:r>
              <w:rPr>
                <w:szCs w:val="21"/>
              </w:rPr>
              <w:t>2</w:t>
            </w:r>
          </w:p>
        </w:tc>
        <w:tc>
          <w:tcPr>
            <w:tcW w:w="1418" w:type="dxa"/>
            <w:noWrap w:val="0"/>
            <w:vAlign w:val="center"/>
          </w:tcPr>
          <w:p>
            <w:pPr>
              <w:jc w:val="center"/>
              <w:rPr>
                <w:szCs w:val="21"/>
              </w:rPr>
            </w:pPr>
            <w:r>
              <w:rPr>
                <w:szCs w:val="21"/>
              </w:rPr>
              <w:t>工艺性能</w:t>
            </w:r>
          </w:p>
        </w:tc>
        <w:tc>
          <w:tcPr>
            <w:tcW w:w="2212" w:type="dxa"/>
            <w:noWrap w:val="0"/>
            <w:vAlign w:val="center"/>
          </w:tcPr>
          <w:p>
            <w:pPr>
              <w:jc w:val="center"/>
              <w:rPr>
                <w:szCs w:val="21"/>
              </w:rPr>
            </w:pPr>
            <w:r>
              <w:rPr>
                <w:szCs w:val="21"/>
              </w:rPr>
              <w:t>弯曲</w:t>
            </w:r>
          </w:p>
        </w:tc>
        <w:tc>
          <w:tcPr>
            <w:tcW w:w="2234" w:type="dxa"/>
            <w:vMerge w:val="continue"/>
            <w:noWrap w:val="0"/>
            <w:vAlign w:val="center"/>
          </w:tcPr>
          <w:p>
            <w:pPr>
              <w:jc w:val="center"/>
              <w:rPr>
                <w:szCs w:val="21"/>
              </w:rPr>
            </w:pPr>
          </w:p>
        </w:tc>
        <w:tc>
          <w:tcPr>
            <w:tcW w:w="2604" w:type="dxa"/>
            <w:noWrap w:val="0"/>
            <w:vAlign w:val="center"/>
          </w:tcPr>
          <w:p>
            <w:pPr>
              <w:jc w:val="center"/>
              <w:rPr>
                <w:szCs w:val="21"/>
              </w:rPr>
            </w:pPr>
            <w:r>
              <w:rPr>
                <w:szCs w:val="21"/>
              </w:rPr>
              <w:t>GB/T 1499.1</w:t>
            </w:r>
            <w:r>
              <w:t>—</w:t>
            </w:r>
            <w:r>
              <w:rPr>
                <w:szCs w:val="21"/>
              </w:rPr>
              <w:t>2017</w:t>
            </w:r>
          </w:p>
          <w:p>
            <w:pPr>
              <w:jc w:val="center"/>
              <w:rPr>
                <w:szCs w:val="21"/>
              </w:rPr>
            </w:pPr>
            <w:r>
              <w:rPr>
                <w:szCs w:val="21"/>
              </w:rPr>
              <w:t>GB/T 28900</w:t>
            </w:r>
            <w:r>
              <w:t>—</w:t>
            </w:r>
            <w:r>
              <w:rPr>
                <w:szCs w:val="21"/>
              </w:rPr>
              <w:t>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jc w:val="center"/>
        </w:trPr>
        <w:tc>
          <w:tcPr>
            <w:tcW w:w="706" w:type="dxa"/>
            <w:vMerge w:val="restart"/>
            <w:noWrap w:val="0"/>
            <w:vAlign w:val="center"/>
          </w:tcPr>
          <w:p>
            <w:pPr>
              <w:jc w:val="center"/>
              <w:rPr>
                <w:szCs w:val="21"/>
              </w:rPr>
            </w:pPr>
            <w:r>
              <w:rPr>
                <w:szCs w:val="21"/>
              </w:rPr>
              <w:t>3</w:t>
            </w:r>
          </w:p>
        </w:tc>
        <w:tc>
          <w:tcPr>
            <w:tcW w:w="1418" w:type="dxa"/>
            <w:vMerge w:val="restart"/>
            <w:noWrap w:val="0"/>
            <w:vAlign w:val="center"/>
          </w:tcPr>
          <w:p>
            <w:pPr>
              <w:jc w:val="center"/>
              <w:rPr>
                <w:szCs w:val="21"/>
              </w:rPr>
            </w:pPr>
            <w:r>
              <w:rPr>
                <w:szCs w:val="21"/>
              </w:rPr>
              <w:t>化学成分</w:t>
            </w:r>
          </w:p>
        </w:tc>
        <w:tc>
          <w:tcPr>
            <w:tcW w:w="2212" w:type="dxa"/>
            <w:noWrap w:val="0"/>
            <w:vAlign w:val="center"/>
          </w:tcPr>
          <w:p>
            <w:pPr>
              <w:jc w:val="center"/>
              <w:rPr>
                <w:szCs w:val="21"/>
              </w:rPr>
            </w:pPr>
            <w:r>
              <w:rPr>
                <w:szCs w:val="21"/>
              </w:rPr>
              <w:t>C</w:t>
            </w:r>
          </w:p>
        </w:tc>
        <w:tc>
          <w:tcPr>
            <w:tcW w:w="2234" w:type="dxa"/>
            <w:vMerge w:val="continue"/>
            <w:noWrap w:val="0"/>
            <w:vAlign w:val="center"/>
          </w:tcPr>
          <w:p>
            <w:pPr>
              <w:jc w:val="center"/>
              <w:rPr>
                <w:szCs w:val="21"/>
              </w:rPr>
            </w:pPr>
          </w:p>
        </w:tc>
        <w:tc>
          <w:tcPr>
            <w:tcW w:w="2604" w:type="dxa"/>
            <w:vMerge w:val="restart"/>
            <w:noWrap w:val="0"/>
            <w:vAlign w:val="center"/>
          </w:tcPr>
          <w:p>
            <w:pPr>
              <w:jc w:val="center"/>
              <w:rPr>
                <w:szCs w:val="21"/>
              </w:rPr>
            </w:pPr>
            <w:r>
              <w:rPr>
                <w:szCs w:val="21"/>
              </w:rPr>
              <w:t>GB/T 223.5</w:t>
            </w:r>
            <w:r>
              <w:t>—</w:t>
            </w:r>
            <w:r>
              <w:rPr>
                <w:szCs w:val="21"/>
              </w:rPr>
              <w:t>2008</w:t>
            </w:r>
          </w:p>
          <w:p>
            <w:pPr>
              <w:jc w:val="center"/>
              <w:rPr>
                <w:szCs w:val="21"/>
              </w:rPr>
            </w:pPr>
            <w:r>
              <w:rPr>
                <w:szCs w:val="21"/>
              </w:rPr>
              <w:t>GB/T 223.59</w:t>
            </w:r>
            <w:r>
              <w:t>—</w:t>
            </w:r>
            <w:r>
              <w:rPr>
                <w:szCs w:val="21"/>
              </w:rPr>
              <w:t>2008</w:t>
            </w:r>
          </w:p>
          <w:p>
            <w:pPr>
              <w:jc w:val="center"/>
              <w:rPr>
                <w:szCs w:val="21"/>
              </w:rPr>
            </w:pPr>
            <w:r>
              <w:rPr>
                <w:szCs w:val="21"/>
              </w:rPr>
              <w:t>GB/T 223.63</w:t>
            </w:r>
            <w:r>
              <w:t>—</w:t>
            </w:r>
            <w:r>
              <w:rPr>
                <w:szCs w:val="21"/>
              </w:rPr>
              <w:t>2022</w:t>
            </w:r>
          </w:p>
          <w:p>
            <w:pPr>
              <w:jc w:val="center"/>
              <w:rPr>
                <w:szCs w:val="21"/>
              </w:rPr>
            </w:pPr>
            <w:r>
              <w:rPr>
                <w:szCs w:val="21"/>
              </w:rPr>
              <w:t>GB/T 223.85</w:t>
            </w:r>
            <w:r>
              <w:t>—</w:t>
            </w:r>
            <w:r>
              <w:rPr>
                <w:szCs w:val="21"/>
              </w:rPr>
              <w:t>2009</w:t>
            </w:r>
          </w:p>
          <w:p>
            <w:pPr>
              <w:jc w:val="center"/>
              <w:rPr>
                <w:szCs w:val="21"/>
              </w:rPr>
            </w:pPr>
            <w:r>
              <w:rPr>
                <w:szCs w:val="21"/>
              </w:rPr>
              <w:t>GB/T 223.86</w:t>
            </w:r>
            <w:r>
              <w:t>—</w:t>
            </w:r>
            <w:r>
              <w:rPr>
                <w:szCs w:val="21"/>
              </w:rPr>
              <w:t>2009</w:t>
            </w:r>
          </w:p>
          <w:p>
            <w:pPr>
              <w:jc w:val="center"/>
              <w:rPr>
                <w:szCs w:val="21"/>
              </w:rPr>
            </w:pPr>
            <w:r>
              <w:rPr>
                <w:szCs w:val="21"/>
              </w:rPr>
              <w:t>GB/T 4336</w:t>
            </w:r>
            <w:r>
              <w:t>—</w:t>
            </w:r>
            <w:r>
              <w:rPr>
                <w:szCs w:val="21"/>
              </w:rPr>
              <w:t xml:space="preserve">2016 </w:t>
            </w:r>
          </w:p>
          <w:p>
            <w:pPr>
              <w:jc w:val="center"/>
              <w:rPr>
                <w:szCs w:val="21"/>
              </w:rPr>
            </w:pPr>
            <w:r>
              <w:rPr>
                <w:szCs w:val="21"/>
              </w:rPr>
              <w:t>GB/T 20123</w:t>
            </w:r>
            <w:r>
              <w:t>—</w:t>
            </w:r>
            <w:r>
              <w:rPr>
                <w:szCs w:val="21"/>
              </w:rPr>
              <w:t>2006</w:t>
            </w:r>
          </w:p>
          <w:p>
            <w:pPr>
              <w:jc w:val="center"/>
              <w:rPr>
                <w:szCs w:val="21"/>
              </w:rPr>
            </w:pPr>
            <w:r>
              <w:rPr>
                <w:szCs w:val="21"/>
              </w:rPr>
              <w:t>GB/T 20125</w:t>
            </w:r>
            <w:r>
              <w:t>—</w:t>
            </w:r>
            <w:r>
              <w:rPr>
                <w:szCs w:val="21"/>
              </w:rPr>
              <w:t>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06" w:type="dxa"/>
            <w:vMerge w:val="continue"/>
            <w:noWrap w:val="0"/>
            <w:vAlign w:val="center"/>
          </w:tcPr>
          <w:p>
            <w:pPr>
              <w:jc w:val="center"/>
              <w:rPr>
                <w:szCs w:val="21"/>
              </w:rPr>
            </w:pPr>
          </w:p>
        </w:tc>
        <w:tc>
          <w:tcPr>
            <w:tcW w:w="1418" w:type="dxa"/>
            <w:vMerge w:val="continue"/>
            <w:noWrap w:val="0"/>
            <w:vAlign w:val="center"/>
          </w:tcPr>
          <w:p>
            <w:pPr>
              <w:jc w:val="center"/>
              <w:rPr>
                <w:szCs w:val="21"/>
              </w:rPr>
            </w:pPr>
          </w:p>
        </w:tc>
        <w:tc>
          <w:tcPr>
            <w:tcW w:w="2212" w:type="dxa"/>
            <w:noWrap w:val="0"/>
            <w:vAlign w:val="center"/>
          </w:tcPr>
          <w:p>
            <w:pPr>
              <w:jc w:val="center"/>
              <w:rPr>
                <w:szCs w:val="21"/>
              </w:rPr>
            </w:pPr>
            <w:r>
              <w:rPr>
                <w:szCs w:val="21"/>
              </w:rPr>
              <w:t>Si</w:t>
            </w:r>
          </w:p>
        </w:tc>
        <w:tc>
          <w:tcPr>
            <w:tcW w:w="2234" w:type="dxa"/>
            <w:vMerge w:val="continue"/>
            <w:noWrap w:val="0"/>
            <w:vAlign w:val="center"/>
          </w:tcPr>
          <w:p>
            <w:pPr>
              <w:jc w:val="center"/>
              <w:rPr>
                <w:szCs w:val="21"/>
              </w:rPr>
            </w:pPr>
          </w:p>
        </w:tc>
        <w:tc>
          <w:tcPr>
            <w:tcW w:w="2604" w:type="dxa"/>
            <w:vMerge w:val="continue"/>
            <w:noWrap w:val="0"/>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706" w:type="dxa"/>
            <w:vMerge w:val="continue"/>
            <w:noWrap w:val="0"/>
            <w:vAlign w:val="center"/>
          </w:tcPr>
          <w:p>
            <w:pPr>
              <w:jc w:val="center"/>
              <w:rPr>
                <w:szCs w:val="21"/>
              </w:rPr>
            </w:pPr>
          </w:p>
        </w:tc>
        <w:tc>
          <w:tcPr>
            <w:tcW w:w="1418" w:type="dxa"/>
            <w:vMerge w:val="continue"/>
            <w:noWrap w:val="0"/>
            <w:vAlign w:val="center"/>
          </w:tcPr>
          <w:p>
            <w:pPr>
              <w:jc w:val="center"/>
              <w:rPr>
                <w:szCs w:val="21"/>
              </w:rPr>
            </w:pPr>
          </w:p>
        </w:tc>
        <w:tc>
          <w:tcPr>
            <w:tcW w:w="2212" w:type="dxa"/>
            <w:noWrap w:val="0"/>
            <w:vAlign w:val="center"/>
          </w:tcPr>
          <w:p>
            <w:pPr>
              <w:jc w:val="center"/>
              <w:rPr>
                <w:szCs w:val="21"/>
              </w:rPr>
            </w:pPr>
            <w:r>
              <w:rPr>
                <w:szCs w:val="21"/>
              </w:rPr>
              <w:t>Mn</w:t>
            </w:r>
          </w:p>
        </w:tc>
        <w:tc>
          <w:tcPr>
            <w:tcW w:w="2234" w:type="dxa"/>
            <w:vMerge w:val="continue"/>
            <w:noWrap w:val="0"/>
            <w:vAlign w:val="center"/>
          </w:tcPr>
          <w:p>
            <w:pPr>
              <w:jc w:val="center"/>
              <w:rPr>
                <w:szCs w:val="21"/>
              </w:rPr>
            </w:pPr>
          </w:p>
        </w:tc>
        <w:tc>
          <w:tcPr>
            <w:tcW w:w="2604" w:type="dxa"/>
            <w:vMerge w:val="continue"/>
            <w:noWrap w:val="0"/>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706" w:type="dxa"/>
            <w:vMerge w:val="continue"/>
            <w:noWrap w:val="0"/>
            <w:vAlign w:val="center"/>
          </w:tcPr>
          <w:p>
            <w:pPr>
              <w:jc w:val="center"/>
              <w:rPr>
                <w:szCs w:val="21"/>
              </w:rPr>
            </w:pPr>
          </w:p>
        </w:tc>
        <w:tc>
          <w:tcPr>
            <w:tcW w:w="1418" w:type="dxa"/>
            <w:vMerge w:val="continue"/>
            <w:noWrap w:val="0"/>
            <w:vAlign w:val="center"/>
          </w:tcPr>
          <w:p>
            <w:pPr>
              <w:jc w:val="center"/>
              <w:rPr>
                <w:szCs w:val="21"/>
              </w:rPr>
            </w:pPr>
          </w:p>
        </w:tc>
        <w:tc>
          <w:tcPr>
            <w:tcW w:w="2212" w:type="dxa"/>
            <w:noWrap w:val="0"/>
            <w:vAlign w:val="center"/>
          </w:tcPr>
          <w:p>
            <w:pPr>
              <w:jc w:val="center"/>
              <w:rPr>
                <w:szCs w:val="21"/>
              </w:rPr>
            </w:pPr>
            <w:r>
              <w:rPr>
                <w:szCs w:val="21"/>
              </w:rPr>
              <w:t>P</w:t>
            </w:r>
          </w:p>
        </w:tc>
        <w:tc>
          <w:tcPr>
            <w:tcW w:w="2234" w:type="dxa"/>
            <w:vMerge w:val="continue"/>
            <w:noWrap w:val="0"/>
            <w:vAlign w:val="center"/>
          </w:tcPr>
          <w:p>
            <w:pPr>
              <w:jc w:val="center"/>
              <w:rPr>
                <w:szCs w:val="21"/>
              </w:rPr>
            </w:pPr>
          </w:p>
        </w:tc>
        <w:tc>
          <w:tcPr>
            <w:tcW w:w="2604" w:type="dxa"/>
            <w:vMerge w:val="continue"/>
            <w:noWrap w:val="0"/>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706" w:type="dxa"/>
            <w:vMerge w:val="continue"/>
            <w:noWrap w:val="0"/>
            <w:vAlign w:val="center"/>
          </w:tcPr>
          <w:p>
            <w:pPr>
              <w:jc w:val="center"/>
              <w:rPr>
                <w:szCs w:val="21"/>
              </w:rPr>
            </w:pPr>
          </w:p>
        </w:tc>
        <w:tc>
          <w:tcPr>
            <w:tcW w:w="1418" w:type="dxa"/>
            <w:vMerge w:val="continue"/>
            <w:noWrap w:val="0"/>
            <w:vAlign w:val="center"/>
          </w:tcPr>
          <w:p>
            <w:pPr>
              <w:jc w:val="center"/>
              <w:rPr>
                <w:szCs w:val="21"/>
              </w:rPr>
            </w:pPr>
          </w:p>
        </w:tc>
        <w:tc>
          <w:tcPr>
            <w:tcW w:w="2212" w:type="dxa"/>
            <w:noWrap w:val="0"/>
            <w:vAlign w:val="center"/>
          </w:tcPr>
          <w:p>
            <w:pPr>
              <w:jc w:val="center"/>
              <w:rPr>
                <w:szCs w:val="21"/>
              </w:rPr>
            </w:pPr>
            <w:r>
              <w:rPr>
                <w:szCs w:val="21"/>
              </w:rPr>
              <w:t>S</w:t>
            </w:r>
          </w:p>
        </w:tc>
        <w:tc>
          <w:tcPr>
            <w:tcW w:w="2234" w:type="dxa"/>
            <w:vMerge w:val="continue"/>
            <w:noWrap w:val="0"/>
            <w:vAlign w:val="center"/>
          </w:tcPr>
          <w:p>
            <w:pPr>
              <w:jc w:val="center"/>
              <w:rPr>
                <w:szCs w:val="21"/>
              </w:rPr>
            </w:pPr>
          </w:p>
        </w:tc>
        <w:tc>
          <w:tcPr>
            <w:tcW w:w="2604" w:type="dxa"/>
            <w:vMerge w:val="continue"/>
            <w:noWrap w:val="0"/>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706" w:type="dxa"/>
            <w:vMerge w:val="restart"/>
            <w:noWrap w:val="0"/>
            <w:vAlign w:val="center"/>
          </w:tcPr>
          <w:p>
            <w:pPr>
              <w:jc w:val="center"/>
              <w:rPr>
                <w:szCs w:val="21"/>
              </w:rPr>
            </w:pPr>
            <w:r>
              <w:rPr>
                <w:szCs w:val="21"/>
              </w:rPr>
              <w:t>4</w:t>
            </w:r>
          </w:p>
        </w:tc>
        <w:tc>
          <w:tcPr>
            <w:tcW w:w="1418" w:type="dxa"/>
            <w:vMerge w:val="restart"/>
            <w:noWrap w:val="0"/>
            <w:vAlign w:val="center"/>
          </w:tcPr>
          <w:p>
            <w:pPr>
              <w:jc w:val="center"/>
              <w:rPr>
                <w:szCs w:val="21"/>
              </w:rPr>
            </w:pPr>
            <w:r>
              <w:rPr>
                <w:szCs w:val="21"/>
              </w:rPr>
              <w:t>尺寸</w:t>
            </w:r>
          </w:p>
        </w:tc>
        <w:tc>
          <w:tcPr>
            <w:tcW w:w="2212" w:type="dxa"/>
            <w:noWrap w:val="0"/>
            <w:vAlign w:val="center"/>
          </w:tcPr>
          <w:p>
            <w:pPr>
              <w:jc w:val="center"/>
              <w:rPr>
                <w:szCs w:val="21"/>
              </w:rPr>
            </w:pPr>
            <w:r>
              <w:rPr>
                <w:szCs w:val="21"/>
              </w:rPr>
              <w:t>不圆度</w:t>
            </w:r>
          </w:p>
        </w:tc>
        <w:tc>
          <w:tcPr>
            <w:tcW w:w="2234" w:type="dxa"/>
            <w:vMerge w:val="continue"/>
            <w:noWrap w:val="0"/>
            <w:vAlign w:val="center"/>
          </w:tcPr>
          <w:p>
            <w:pPr>
              <w:jc w:val="center"/>
              <w:rPr>
                <w:szCs w:val="21"/>
              </w:rPr>
            </w:pPr>
          </w:p>
        </w:tc>
        <w:tc>
          <w:tcPr>
            <w:tcW w:w="2604" w:type="dxa"/>
            <w:noWrap w:val="0"/>
            <w:vAlign w:val="center"/>
          </w:tcPr>
          <w:p>
            <w:pPr>
              <w:jc w:val="center"/>
              <w:rPr>
                <w:szCs w:val="21"/>
              </w:rPr>
            </w:pPr>
            <w:r>
              <w:rPr>
                <w:szCs w:val="21"/>
              </w:rPr>
              <w:t>GB/T 1499.1</w:t>
            </w:r>
            <w:r>
              <w:t>—</w:t>
            </w:r>
            <w:r>
              <w:rPr>
                <w:szCs w:val="21"/>
              </w:rPr>
              <w:t>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706" w:type="dxa"/>
            <w:vMerge w:val="continue"/>
            <w:noWrap w:val="0"/>
            <w:vAlign w:val="center"/>
          </w:tcPr>
          <w:p>
            <w:pPr>
              <w:jc w:val="center"/>
              <w:rPr>
                <w:szCs w:val="21"/>
              </w:rPr>
            </w:pPr>
          </w:p>
        </w:tc>
        <w:tc>
          <w:tcPr>
            <w:tcW w:w="1418" w:type="dxa"/>
            <w:vMerge w:val="continue"/>
            <w:noWrap w:val="0"/>
            <w:vAlign w:val="center"/>
          </w:tcPr>
          <w:p>
            <w:pPr>
              <w:jc w:val="center"/>
              <w:rPr>
                <w:szCs w:val="21"/>
              </w:rPr>
            </w:pPr>
          </w:p>
        </w:tc>
        <w:tc>
          <w:tcPr>
            <w:tcW w:w="2212" w:type="dxa"/>
            <w:noWrap w:val="0"/>
            <w:vAlign w:val="center"/>
          </w:tcPr>
          <w:p>
            <w:pPr>
              <w:jc w:val="center"/>
              <w:rPr>
                <w:szCs w:val="21"/>
              </w:rPr>
            </w:pPr>
            <w:r>
              <w:rPr>
                <w:szCs w:val="21"/>
              </w:rPr>
              <w:t>每米弯曲度</w:t>
            </w:r>
          </w:p>
        </w:tc>
        <w:tc>
          <w:tcPr>
            <w:tcW w:w="2234" w:type="dxa"/>
            <w:vMerge w:val="continue"/>
            <w:noWrap w:val="0"/>
            <w:vAlign w:val="center"/>
          </w:tcPr>
          <w:p>
            <w:pPr>
              <w:jc w:val="center"/>
              <w:rPr>
                <w:szCs w:val="21"/>
              </w:rPr>
            </w:pPr>
          </w:p>
        </w:tc>
        <w:tc>
          <w:tcPr>
            <w:tcW w:w="2604" w:type="dxa"/>
            <w:noWrap w:val="0"/>
            <w:vAlign w:val="center"/>
          </w:tcPr>
          <w:p>
            <w:pPr>
              <w:jc w:val="center"/>
              <w:rPr>
                <w:szCs w:val="21"/>
              </w:rPr>
            </w:pPr>
            <w:r>
              <w:rPr>
                <w:szCs w:val="21"/>
              </w:rPr>
              <w:t>GB/T 1499.1</w:t>
            </w:r>
            <w:r>
              <w:t>—</w:t>
            </w:r>
            <w:r>
              <w:rPr>
                <w:szCs w:val="21"/>
              </w:rPr>
              <w:t>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706" w:type="dxa"/>
            <w:noWrap w:val="0"/>
            <w:vAlign w:val="center"/>
          </w:tcPr>
          <w:p>
            <w:pPr>
              <w:jc w:val="center"/>
              <w:rPr>
                <w:szCs w:val="21"/>
              </w:rPr>
            </w:pPr>
            <w:r>
              <w:rPr>
                <w:szCs w:val="21"/>
              </w:rPr>
              <w:t>5</w:t>
            </w:r>
          </w:p>
        </w:tc>
        <w:tc>
          <w:tcPr>
            <w:tcW w:w="3630" w:type="dxa"/>
            <w:gridSpan w:val="2"/>
            <w:noWrap w:val="0"/>
            <w:vAlign w:val="center"/>
          </w:tcPr>
          <w:p>
            <w:pPr>
              <w:jc w:val="center"/>
              <w:rPr>
                <w:szCs w:val="21"/>
              </w:rPr>
            </w:pPr>
            <w:r>
              <w:rPr>
                <w:szCs w:val="21"/>
              </w:rPr>
              <w:t>重量偏差</w:t>
            </w:r>
          </w:p>
        </w:tc>
        <w:tc>
          <w:tcPr>
            <w:tcW w:w="2234" w:type="dxa"/>
            <w:vMerge w:val="continue"/>
            <w:noWrap w:val="0"/>
            <w:vAlign w:val="center"/>
          </w:tcPr>
          <w:p>
            <w:pPr>
              <w:jc w:val="center"/>
              <w:rPr>
                <w:szCs w:val="21"/>
              </w:rPr>
            </w:pPr>
          </w:p>
        </w:tc>
        <w:tc>
          <w:tcPr>
            <w:tcW w:w="2604" w:type="dxa"/>
            <w:noWrap w:val="0"/>
            <w:vAlign w:val="center"/>
          </w:tcPr>
          <w:p>
            <w:pPr>
              <w:jc w:val="center"/>
              <w:rPr>
                <w:szCs w:val="21"/>
              </w:rPr>
            </w:pPr>
            <w:r>
              <w:rPr>
                <w:szCs w:val="21"/>
              </w:rPr>
              <w:t>GB/T 1499.1</w:t>
            </w:r>
            <w:r>
              <w:t>—</w:t>
            </w:r>
            <w:r>
              <w:rPr>
                <w:szCs w:val="21"/>
              </w:rPr>
              <w:t>2017</w:t>
            </w:r>
          </w:p>
        </w:tc>
      </w:tr>
    </w:tbl>
    <w:p>
      <w:pPr>
        <w:adjustRightInd w:val="0"/>
        <w:snapToGrid w:val="0"/>
        <w:spacing w:line="440" w:lineRule="exact"/>
        <w:ind w:firstLine="420" w:firstLineChars="200"/>
        <w:rPr>
          <w:color w:val="000000"/>
          <w:szCs w:val="21"/>
        </w:rPr>
      </w:pPr>
    </w:p>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eastAsiaTheme="minorEastAsia"/>
          <w:szCs w:val="21"/>
          <w:lang w:eastAsia="zh-CN"/>
        </w:rPr>
      </w:pPr>
      <w:r>
        <w:rPr>
          <w:rFonts w:eastAsiaTheme="minorEastAsia"/>
          <w:szCs w:val="21"/>
        </w:rPr>
        <w:t>表</w:t>
      </w:r>
      <w:r>
        <w:rPr>
          <w:rFonts w:hint="eastAsia" w:eastAsiaTheme="minorEastAsia"/>
          <w:szCs w:val="21"/>
          <w:lang w:val="en-US" w:eastAsia="zh-CN"/>
        </w:rPr>
        <w:t>3</w:t>
      </w:r>
      <w:r>
        <w:rPr>
          <w:rFonts w:hint="eastAsia" w:eastAsiaTheme="minorEastAsia"/>
          <w:szCs w:val="21"/>
          <w:lang w:eastAsia="zh-CN"/>
        </w:rPr>
        <w:t>冷轧带肋钢筋</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8"/>
        <w:gridCol w:w="1167"/>
        <w:gridCol w:w="2996"/>
        <w:gridCol w:w="2081"/>
        <w:gridCol w:w="22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353" w:type="pct"/>
            <w:vAlign w:val="center"/>
          </w:tcPr>
          <w:p>
            <w:pPr>
              <w:jc w:val="center"/>
              <w:rPr>
                <w:rFonts w:eastAsiaTheme="minorEastAsia"/>
                <w:szCs w:val="21"/>
              </w:rPr>
            </w:pPr>
            <w:r>
              <w:rPr>
                <w:rFonts w:eastAsiaTheme="minorEastAsia"/>
                <w:szCs w:val="21"/>
              </w:rPr>
              <w:t>序号</w:t>
            </w:r>
          </w:p>
        </w:tc>
        <w:tc>
          <w:tcPr>
            <w:tcW w:w="2269" w:type="pct"/>
            <w:gridSpan w:val="2"/>
            <w:vAlign w:val="center"/>
          </w:tcPr>
          <w:p>
            <w:pPr>
              <w:jc w:val="center"/>
              <w:rPr>
                <w:rFonts w:eastAsiaTheme="minorEastAsia"/>
                <w:szCs w:val="21"/>
              </w:rPr>
            </w:pPr>
            <w:r>
              <w:rPr>
                <w:rFonts w:eastAsiaTheme="minorEastAsia"/>
                <w:szCs w:val="21"/>
              </w:rPr>
              <w:t>检验项目</w:t>
            </w:r>
          </w:p>
        </w:tc>
        <w:tc>
          <w:tcPr>
            <w:tcW w:w="1134" w:type="pct"/>
            <w:vAlign w:val="center"/>
          </w:tcPr>
          <w:p>
            <w:pPr>
              <w:jc w:val="center"/>
              <w:rPr>
                <w:rFonts w:eastAsiaTheme="minorEastAsia"/>
                <w:szCs w:val="21"/>
              </w:rPr>
            </w:pPr>
            <w:r>
              <w:rPr>
                <w:rFonts w:eastAsiaTheme="minorEastAsia"/>
                <w:szCs w:val="21"/>
              </w:rPr>
              <w:t>检验依据</w:t>
            </w:r>
          </w:p>
        </w:tc>
        <w:tc>
          <w:tcPr>
            <w:tcW w:w="1244" w:type="pct"/>
            <w:vAlign w:val="center"/>
          </w:tcPr>
          <w:p>
            <w:pPr>
              <w:jc w:val="center"/>
              <w:rPr>
                <w:rFonts w:eastAsiaTheme="minorEastAsia"/>
                <w:szCs w:val="21"/>
              </w:rPr>
            </w:pPr>
            <w:r>
              <w:rPr>
                <w:rFonts w:eastAsiaTheme="minorEastAsia"/>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53" w:type="pct"/>
            <w:vMerge w:val="restart"/>
            <w:vAlign w:val="center"/>
          </w:tcPr>
          <w:p>
            <w:pPr>
              <w:jc w:val="center"/>
              <w:rPr>
                <w:rFonts w:eastAsiaTheme="minorEastAsia"/>
                <w:szCs w:val="21"/>
              </w:rPr>
            </w:pPr>
            <w:r>
              <w:rPr>
                <w:rFonts w:eastAsiaTheme="minorEastAsia"/>
                <w:szCs w:val="21"/>
              </w:rPr>
              <w:t>1</w:t>
            </w:r>
          </w:p>
        </w:tc>
        <w:tc>
          <w:tcPr>
            <w:tcW w:w="636" w:type="pct"/>
            <w:vMerge w:val="restart"/>
            <w:vAlign w:val="center"/>
          </w:tcPr>
          <w:p>
            <w:pPr>
              <w:jc w:val="center"/>
              <w:rPr>
                <w:rFonts w:eastAsiaTheme="minorEastAsia"/>
                <w:szCs w:val="21"/>
              </w:rPr>
            </w:pPr>
            <w:r>
              <w:rPr>
                <w:rFonts w:eastAsiaTheme="minorEastAsia"/>
                <w:szCs w:val="21"/>
              </w:rPr>
              <w:t>力学性能</w:t>
            </w:r>
          </w:p>
        </w:tc>
        <w:tc>
          <w:tcPr>
            <w:tcW w:w="1633" w:type="pct"/>
            <w:vAlign w:val="center"/>
          </w:tcPr>
          <w:p>
            <w:pPr>
              <w:jc w:val="center"/>
              <w:rPr>
                <w:rFonts w:eastAsiaTheme="minorEastAsia"/>
                <w:szCs w:val="21"/>
              </w:rPr>
            </w:pPr>
            <w:r>
              <w:rPr>
                <w:rFonts w:hint="eastAsia" w:eastAsiaTheme="minorEastAsia"/>
                <w:szCs w:val="21"/>
              </w:rPr>
              <w:t>规定塑性延伸强度</w:t>
            </w:r>
          </w:p>
        </w:tc>
        <w:tc>
          <w:tcPr>
            <w:tcW w:w="1134" w:type="pct"/>
            <w:vMerge w:val="restart"/>
            <w:vAlign w:val="center"/>
          </w:tcPr>
          <w:p>
            <w:pPr>
              <w:jc w:val="center"/>
              <w:rPr>
                <w:rFonts w:eastAsiaTheme="minorEastAsia"/>
                <w:szCs w:val="21"/>
              </w:rPr>
            </w:pPr>
            <w:r>
              <w:rPr>
                <w:rFonts w:eastAsiaTheme="minorEastAsia"/>
                <w:szCs w:val="21"/>
              </w:rPr>
              <w:t xml:space="preserve">GB/T </w:t>
            </w:r>
            <w:r>
              <w:rPr>
                <w:rFonts w:hint="eastAsia" w:eastAsiaTheme="minorEastAsia"/>
                <w:szCs w:val="21"/>
              </w:rPr>
              <w:t>13788</w:t>
            </w:r>
            <w:r>
              <w:t>—</w:t>
            </w:r>
            <w:r>
              <w:rPr>
                <w:rFonts w:eastAsiaTheme="minorEastAsia"/>
                <w:szCs w:val="21"/>
              </w:rPr>
              <w:t>201</w:t>
            </w:r>
            <w:r>
              <w:rPr>
                <w:rFonts w:hint="eastAsia" w:eastAsiaTheme="minorEastAsia"/>
                <w:szCs w:val="21"/>
              </w:rPr>
              <w:t>7</w:t>
            </w:r>
          </w:p>
        </w:tc>
        <w:tc>
          <w:tcPr>
            <w:tcW w:w="1244" w:type="pct"/>
            <w:vMerge w:val="restart"/>
            <w:vAlign w:val="center"/>
          </w:tcPr>
          <w:p>
            <w:pPr>
              <w:jc w:val="center"/>
              <w:rPr>
                <w:rFonts w:eastAsiaTheme="minorEastAsia"/>
                <w:szCs w:val="21"/>
              </w:rPr>
            </w:pPr>
            <w:r>
              <w:rPr>
                <w:rFonts w:eastAsiaTheme="minorEastAsia"/>
                <w:szCs w:val="21"/>
              </w:rPr>
              <w:t xml:space="preserve">GB/T </w:t>
            </w:r>
            <w:r>
              <w:rPr>
                <w:rFonts w:hint="eastAsia" w:eastAsiaTheme="minorEastAsia"/>
                <w:szCs w:val="21"/>
              </w:rPr>
              <w:t>13788</w:t>
            </w:r>
            <w:r>
              <w:t>—</w:t>
            </w:r>
            <w:r>
              <w:rPr>
                <w:rFonts w:eastAsiaTheme="minorEastAsia"/>
                <w:szCs w:val="21"/>
              </w:rPr>
              <w:t>201</w:t>
            </w:r>
            <w:r>
              <w:rPr>
                <w:rFonts w:hint="eastAsia" w:eastAsiaTheme="minorEastAsia"/>
                <w:szCs w:val="21"/>
              </w:rPr>
              <w:t>7</w:t>
            </w:r>
          </w:p>
          <w:p>
            <w:pPr>
              <w:jc w:val="center"/>
              <w:rPr>
                <w:rFonts w:eastAsiaTheme="minorEastAsia"/>
                <w:szCs w:val="21"/>
              </w:rPr>
            </w:pPr>
            <w:r>
              <w:rPr>
                <w:rFonts w:eastAsiaTheme="minorEastAsia"/>
                <w:szCs w:val="21"/>
              </w:rPr>
              <w:t>GB/T 28900</w:t>
            </w:r>
            <w:r>
              <w:t>—</w:t>
            </w:r>
            <w:r>
              <w:rPr>
                <w:rFonts w:eastAsiaTheme="minorEastAsia"/>
                <w:szCs w:val="21"/>
              </w:rPr>
              <w:t>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53" w:type="pct"/>
            <w:vMerge w:val="continue"/>
            <w:vAlign w:val="center"/>
          </w:tcPr>
          <w:p>
            <w:pPr>
              <w:jc w:val="center"/>
              <w:rPr>
                <w:rFonts w:eastAsiaTheme="minorEastAsia"/>
                <w:szCs w:val="21"/>
              </w:rPr>
            </w:pPr>
          </w:p>
        </w:tc>
        <w:tc>
          <w:tcPr>
            <w:tcW w:w="636" w:type="pct"/>
            <w:vMerge w:val="continue"/>
            <w:vAlign w:val="center"/>
          </w:tcPr>
          <w:p>
            <w:pPr>
              <w:jc w:val="center"/>
              <w:rPr>
                <w:rFonts w:eastAsiaTheme="minorEastAsia"/>
                <w:szCs w:val="21"/>
              </w:rPr>
            </w:pPr>
          </w:p>
        </w:tc>
        <w:tc>
          <w:tcPr>
            <w:tcW w:w="1633" w:type="pct"/>
            <w:vAlign w:val="center"/>
          </w:tcPr>
          <w:p>
            <w:pPr>
              <w:jc w:val="center"/>
              <w:rPr>
                <w:rFonts w:eastAsiaTheme="minorEastAsia"/>
                <w:szCs w:val="21"/>
              </w:rPr>
            </w:pPr>
            <w:r>
              <w:rPr>
                <w:rFonts w:hint="eastAsia" w:eastAsiaTheme="minorEastAsia"/>
                <w:szCs w:val="21"/>
              </w:rPr>
              <w:t>抗拉强度</w:t>
            </w:r>
          </w:p>
        </w:tc>
        <w:tc>
          <w:tcPr>
            <w:tcW w:w="1134" w:type="pct"/>
            <w:vMerge w:val="continue"/>
            <w:vAlign w:val="center"/>
          </w:tcPr>
          <w:p>
            <w:pPr>
              <w:jc w:val="center"/>
              <w:rPr>
                <w:rFonts w:eastAsiaTheme="minorEastAsia"/>
                <w:szCs w:val="21"/>
              </w:rPr>
            </w:pPr>
          </w:p>
        </w:tc>
        <w:tc>
          <w:tcPr>
            <w:tcW w:w="1244" w:type="pct"/>
            <w:vMerge w:val="continue"/>
            <w:vAlign w:val="center"/>
          </w:tcPr>
          <w:p>
            <w:pPr>
              <w:jc w:val="center"/>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53" w:type="pct"/>
            <w:vMerge w:val="continue"/>
            <w:vAlign w:val="center"/>
          </w:tcPr>
          <w:p>
            <w:pPr>
              <w:jc w:val="center"/>
              <w:rPr>
                <w:rFonts w:eastAsiaTheme="minorEastAsia"/>
                <w:szCs w:val="21"/>
              </w:rPr>
            </w:pPr>
          </w:p>
        </w:tc>
        <w:tc>
          <w:tcPr>
            <w:tcW w:w="636" w:type="pct"/>
            <w:vMerge w:val="continue"/>
            <w:vAlign w:val="center"/>
          </w:tcPr>
          <w:p>
            <w:pPr>
              <w:jc w:val="center"/>
              <w:rPr>
                <w:rFonts w:eastAsiaTheme="minorEastAsia"/>
                <w:szCs w:val="21"/>
              </w:rPr>
            </w:pPr>
          </w:p>
        </w:tc>
        <w:tc>
          <w:tcPr>
            <w:tcW w:w="1633" w:type="pct"/>
            <w:vAlign w:val="center"/>
          </w:tcPr>
          <w:p>
            <w:pPr>
              <w:jc w:val="center"/>
              <w:rPr>
                <w:rFonts w:eastAsiaTheme="minorEastAsia"/>
                <w:szCs w:val="21"/>
              </w:rPr>
            </w:pPr>
            <w:r>
              <w:rPr>
                <w:rFonts w:hint="eastAsia" w:eastAsiaTheme="minorEastAsia"/>
                <w:szCs w:val="21"/>
              </w:rPr>
              <w:t>断后伸长率</w:t>
            </w:r>
          </w:p>
        </w:tc>
        <w:tc>
          <w:tcPr>
            <w:tcW w:w="1134" w:type="pct"/>
            <w:vMerge w:val="continue"/>
            <w:vAlign w:val="center"/>
          </w:tcPr>
          <w:p>
            <w:pPr>
              <w:jc w:val="center"/>
              <w:rPr>
                <w:rFonts w:eastAsiaTheme="minorEastAsia"/>
                <w:szCs w:val="21"/>
              </w:rPr>
            </w:pPr>
          </w:p>
        </w:tc>
        <w:tc>
          <w:tcPr>
            <w:tcW w:w="1244" w:type="pct"/>
            <w:vMerge w:val="continue"/>
            <w:vAlign w:val="center"/>
          </w:tcPr>
          <w:p>
            <w:pPr>
              <w:jc w:val="center"/>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53" w:type="pct"/>
            <w:vMerge w:val="continue"/>
            <w:vAlign w:val="center"/>
          </w:tcPr>
          <w:p>
            <w:pPr>
              <w:jc w:val="center"/>
              <w:rPr>
                <w:rFonts w:eastAsiaTheme="minorEastAsia"/>
                <w:szCs w:val="21"/>
              </w:rPr>
            </w:pPr>
          </w:p>
        </w:tc>
        <w:tc>
          <w:tcPr>
            <w:tcW w:w="636" w:type="pct"/>
            <w:vMerge w:val="continue"/>
            <w:vAlign w:val="center"/>
          </w:tcPr>
          <w:p>
            <w:pPr>
              <w:jc w:val="center"/>
              <w:rPr>
                <w:rFonts w:eastAsiaTheme="minorEastAsia"/>
                <w:szCs w:val="21"/>
              </w:rPr>
            </w:pPr>
          </w:p>
        </w:tc>
        <w:tc>
          <w:tcPr>
            <w:tcW w:w="1633" w:type="pct"/>
            <w:vAlign w:val="center"/>
          </w:tcPr>
          <w:p>
            <w:pPr>
              <w:jc w:val="center"/>
              <w:rPr>
                <w:rFonts w:eastAsiaTheme="minorEastAsia"/>
                <w:szCs w:val="21"/>
              </w:rPr>
            </w:pPr>
            <w:r>
              <w:rPr>
                <w:rFonts w:hint="eastAsia" w:eastAsiaTheme="minorEastAsia"/>
                <w:szCs w:val="21"/>
              </w:rPr>
              <w:t>强屈比</w:t>
            </w:r>
          </w:p>
        </w:tc>
        <w:tc>
          <w:tcPr>
            <w:tcW w:w="1134" w:type="pct"/>
            <w:vMerge w:val="continue"/>
            <w:vAlign w:val="center"/>
          </w:tcPr>
          <w:p>
            <w:pPr>
              <w:jc w:val="center"/>
              <w:rPr>
                <w:rFonts w:eastAsiaTheme="minorEastAsia"/>
                <w:szCs w:val="21"/>
              </w:rPr>
            </w:pPr>
          </w:p>
        </w:tc>
        <w:tc>
          <w:tcPr>
            <w:tcW w:w="1244" w:type="pct"/>
            <w:vMerge w:val="continue"/>
            <w:vAlign w:val="center"/>
          </w:tcPr>
          <w:p>
            <w:pPr>
              <w:jc w:val="center"/>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53" w:type="pct"/>
            <w:vMerge w:val="continue"/>
            <w:vAlign w:val="center"/>
          </w:tcPr>
          <w:p>
            <w:pPr>
              <w:jc w:val="center"/>
              <w:rPr>
                <w:rFonts w:eastAsiaTheme="minorEastAsia"/>
                <w:szCs w:val="21"/>
              </w:rPr>
            </w:pPr>
          </w:p>
        </w:tc>
        <w:tc>
          <w:tcPr>
            <w:tcW w:w="636" w:type="pct"/>
            <w:vMerge w:val="continue"/>
            <w:vAlign w:val="center"/>
          </w:tcPr>
          <w:p>
            <w:pPr>
              <w:jc w:val="center"/>
              <w:rPr>
                <w:rFonts w:eastAsiaTheme="minorEastAsia"/>
                <w:szCs w:val="21"/>
              </w:rPr>
            </w:pPr>
          </w:p>
        </w:tc>
        <w:tc>
          <w:tcPr>
            <w:tcW w:w="1633" w:type="pct"/>
            <w:vAlign w:val="center"/>
          </w:tcPr>
          <w:p>
            <w:pPr>
              <w:jc w:val="center"/>
              <w:rPr>
                <w:rFonts w:eastAsiaTheme="minorEastAsia"/>
                <w:szCs w:val="21"/>
              </w:rPr>
            </w:pPr>
            <w:r>
              <w:rPr>
                <w:rFonts w:hint="eastAsia" w:eastAsiaTheme="minorEastAsia"/>
                <w:szCs w:val="21"/>
              </w:rPr>
              <w:t>最大力总延伸率</w:t>
            </w:r>
          </w:p>
        </w:tc>
        <w:tc>
          <w:tcPr>
            <w:tcW w:w="1134" w:type="pct"/>
            <w:vMerge w:val="continue"/>
            <w:vAlign w:val="center"/>
          </w:tcPr>
          <w:p>
            <w:pPr>
              <w:jc w:val="center"/>
              <w:rPr>
                <w:rFonts w:eastAsiaTheme="minorEastAsia"/>
                <w:szCs w:val="21"/>
              </w:rPr>
            </w:pPr>
          </w:p>
        </w:tc>
        <w:tc>
          <w:tcPr>
            <w:tcW w:w="1244" w:type="pct"/>
            <w:vMerge w:val="continue"/>
            <w:vAlign w:val="center"/>
          </w:tcPr>
          <w:p>
            <w:pPr>
              <w:jc w:val="center"/>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53" w:type="pct"/>
            <w:vAlign w:val="center"/>
          </w:tcPr>
          <w:p>
            <w:pPr>
              <w:jc w:val="center"/>
              <w:rPr>
                <w:rFonts w:eastAsiaTheme="minorEastAsia"/>
                <w:szCs w:val="21"/>
              </w:rPr>
            </w:pPr>
            <w:r>
              <w:rPr>
                <w:rFonts w:eastAsiaTheme="minorEastAsia"/>
                <w:szCs w:val="21"/>
              </w:rPr>
              <w:t>2</w:t>
            </w:r>
          </w:p>
        </w:tc>
        <w:tc>
          <w:tcPr>
            <w:tcW w:w="636" w:type="pct"/>
            <w:vAlign w:val="center"/>
          </w:tcPr>
          <w:p>
            <w:pPr>
              <w:jc w:val="center"/>
              <w:rPr>
                <w:rFonts w:eastAsiaTheme="minorEastAsia"/>
                <w:szCs w:val="21"/>
              </w:rPr>
            </w:pPr>
            <w:r>
              <w:rPr>
                <w:rFonts w:eastAsiaTheme="minorEastAsia"/>
                <w:szCs w:val="21"/>
              </w:rPr>
              <w:t>工艺性能</w:t>
            </w:r>
          </w:p>
        </w:tc>
        <w:tc>
          <w:tcPr>
            <w:tcW w:w="1633" w:type="pct"/>
            <w:vAlign w:val="center"/>
          </w:tcPr>
          <w:p>
            <w:pPr>
              <w:jc w:val="center"/>
              <w:rPr>
                <w:rFonts w:eastAsiaTheme="minorEastAsia"/>
                <w:szCs w:val="21"/>
              </w:rPr>
            </w:pPr>
            <w:r>
              <w:rPr>
                <w:rFonts w:eastAsiaTheme="minorEastAsia"/>
                <w:szCs w:val="21"/>
              </w:rPr>
              <w:t>弯曲</w:t>
            </w:r>
          </w:p>
        </w:tc>
        <w:tc>
          <w:tcPr>
            <w:tcW w:w="1134" w:type="pct"/>
            <w:vAlign w:val="center"/>
          </w:tcPr>
          <w:p>
            <w:pPr>
              <w:jc w:val="center"/>
              <w:rPr>
                <w:rFonts w:eastAsiaTheme="minorEastAsia"/>
                <w:szCs w:val="21"/>
              </w:rPr>
            </w:pPr>
            <w:r>
              <w:rPr>
                <w:rFonts w:eastAsiaTheme="minorEastAsia"/>
                <w:szCs w:val="21"/>
              </w:rPr>
              <w:t xml:space="preserve">GB/T </w:t>
            </w:r>
            <w:r>
              <w:rPr>
                <w:rFonts w:hint="eastAsia" w:eastAsiaTheme="minorEastAsia"/>
                <w:szCs w:val="21"/>
              </w:rPr>
              <w:t>13788</w:t>
            </w:r>
            <w:r>
              <w:t>—</w:t>
            </w:r>
            <w:r>
              <w:rPr>
                <w:rFonts w:eastAsiaTheme="minorEastAsia"/>
                <w:szCs w:val="21"/>
              </w:rPr>
              <w:t>201</w:t>
            </w:r>
            <w:r>
              <w:rPr>
                <w:rFonts w:hint="eastAsia" w:eastAsiaTheme="minorEastAsia"/>
                <w:szCs w:val="21"/>
              </w:rPr>
              <w:t>7</w:t>
            </w:r>
          </w:p>
        </w:tc>
        <w:tc>
          <w:tcPr>
            <w:tcW w:w="1244" w:type="pct"/>
            <w:vAlign w:val="center"/>
          </w:tcPr>
          <w:p>
            <w:pPr>
              <w:jc w:val="center"/>
              <w:rPr>
                <w:rFonts w:eastAsiaTheme="minorEastAsia"/>
                <w:szCs w:val="21"/>
              </w:rPr>
            </w:pPr>
            <w:r>
              <w:rPr>
                <w:rFonts w:eastAsiaTheme="minorEastAsia"/>
                <w:szCs w:val="21"/>
              </w:rPr>
              <w:t xml:space="preserve">GB/T </w:t>
            </w:r>
            <w:r>
              <w:rPr>
                <w:rFonts w:hint="eastAsia" w:eastAsiaTheme="minorEastAsia"/>
                <w:szCs w:val="21"/>
              </w:rPr>
              <w:t>13788</w:t>
            </w:r>
            <w:r>
              <w:t>—</w:t>
            </w:r>
            <w:r>
              <w:rPr>
                <w:rFonts w:eastAsiaTheme="minorEastAsia"/>
                <w:szCs w:val="21"/>
              </w:rPr>
              <w:t>201</w:t>
            </w:r>
            <w:r>
              <w:rPr>
                <w:rFonts w:hint="eastAsia" w:eastAsiaTheme="minorEastAsia"/>
                <w:szCs w:val="21"/>
              </w:rPr>
              <w:t>7</w:t>
            </w:r>
          </w:p>
          <w:p>
            <w:pPr>
              <w:jc w:val="center"/>
              <w:rPr>
                <w:rFonts w:eastAsiaTheme="minorEastAsia"/>
                <w:szCs w:val="21"/>
              </w:rPr>
            </w:pPr>
            <w:r>
              <w:rPr>
                <w:rFonts w:eastAsiaTheme="minorEastAsia"/>
                <w:szCs w:val="21"/>
              </w:rPr>
              <w:t>GB/T 28900</w:t>
            </w:r>
            <w:r>
              <w:t>—</w:t>
            </w:r>
            <w:r>
              <w:rPr>
                <w:rFonts w:eastAsiaTheme="minorEastAsia"/>
                <w:szCs w:val="21"/>
              </w:rPr>
              <w:t>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53" w:type="pct"/>
            <w:vMerge w:val="restart"/>
            <w:vAlign w:val="center"/>
          </w:tcPr>
          <w:p>
            <w:pPr>
              <w:jc w:val="center"/>
              <w:rPr>
                <w:rFonts w:eastAsiaTheme="minorEastAsia"/>
                <w:szCs w:val="21"/>
              </w:rPr>
            </w:pPr>
            <w:r>
              <w:rPr>
                <w:rFonts w:hint="eastAsia" w:eastAsiaTheme="minorEastAsia"/>
                <w:szCs w:val="21"/>
              </w:rPr>
              <w:t>3</w:t>
            </w:r>
          </w:p>
        </w:tc>
        <w:tc>
          <w:tcPr>
            <w:tcW w:w="636" w:type="pct"/>
            <w:vMerge w:val="restart"/>
            <w:vAlign w:val="center"/>
          </w:tcPr>
          <w:p>
            <w:pPr>
              <w:jc w:val="center"/>
              <w:rPr>
                <w:rFonts w:eastAsiaTheme="minorEastAsia"/>
                <w:szCs w:val="21"/>
              </w:rPr>
            </w:pPr>
            <w:r>
              <w:rPr>
                <w:rFonts w:eastAsiaTheme="minorEastAsia"/>
                <w:szCs w:val="21"/>
              </w:rPr>
              <w:t>尺寸</w:t>
            </w:r>
          </w:p>
        </w:tc>
        <w:tc>
          <w:tcPr>
            <w:tcW w:w="1633" w:type="pct"/>
            <w:vAlign w:val="center"/>
          </w:tcPr>
          <w:p>
            <w:pPr>
              <w:jc w:val="center"/>
              <w:rPr>
                <w:rFonts w:eastAsiaTheme="minorEastAsia"/>
                <w:szCs w:val="21"/>
              </w:rPr>
            </w:pPr>
            <w:r>
              <w:rPr>
                <w:rFonts w:eastAsiaTheme="minorEastAsia"/>
                <w:szCs w:val="21"/>
              </w:rPr>
              <w:t>横肋中点高</w:t>
            </w:r>
          </w:p>
        </w:tc>
        <w:tc>
          <w:tcPr>
            <w:tcW w:w="1134" w:type="pct"/>
            <w:vMerge w:val="restart"/>
            <w:vAlign w:val="center"/>
          </w:tcPr>
          <w:p>
            <w:pPr>
              <w:jc w:val="center"/>
              <w:rPr>
                <w:rFonts w:eastAsiaTheme="minorEastAsia"/>
                <w:szCs w:val="21"/>
              </w:rPr>
            </w:pPr>
            <w:r>
              <w:rPr>
                <w:rFonts w:eastAsiaTheme="minorEastAsia"/>
                <w:szCs w:val="21"/>
              </w:rPr>
              <w:t xml:space="preserve">GB/T </w:t>
            </w:r>
            <w:r>
              <w:rPr>
                <w:rFonts w:hint="eastAsia" w:eastAsiaTheme="minorEastAsia"/>
                <w:szCs w:val="21"/>
              </w:rPr>
              <w:t>13788</w:t>
            </w:r>
            <w:r>
              <w:t>—</w:t>
            </w:r>
            <w:r>
              <w:rPr>
                <w:rFonts w:eastAsiaTheme="minorEastAsia"/>
                <w:szCs w:val="21"/>
              </w:rPr>
              <w:t>201</w:t>
            </w:r>
            <w:r>
              <w:rPr>
                <w:rFonts w:hint="eastAsia" w:eastAsiaTheme="minorEastAsia"/>
                <w:szCs w:val="21"/>
              </w:rPr>
              <w:t>7</w:t>
            </w:r>
          </w:p>
        </w:tc>
        <w:tc>
          <w:tcPr>
            <w:tcW w:w="1244" w:type="pct"/>
            <w:vAlign w:val="center"/>
          </w:tcPr>
          <w:p>
            <w:pPr>
              <w:jc w:val="center"/>
              <w:rPr>
                <w:rFonts w:eastAsiaTheme="minorEastAsia"/>
                <w:szCs w:val="21"/>
              </w:rPr>
            </w:pPr>
            <w:r>
              <w:rPr>
                <w:rFonts w:eastAsiaTheme="minorEastAsia"/>
                <w:szCs w:val="21"/>
              </w:rPr>
              <w:t xml:space="preserve">GB/T </w:t>
            </w:r>
            <w:r>
              <w:rPr>
                <w:rFonts w:hint="eastAsia" w:eastAsiaTheme="minorEastAsia"/>
                <w:szCs w:val="21"/>
              </w:rPr>
              <w:t>13788</w:t>
            </w:r>
            <w:r>
              <w:t>—</w:t>
            </w:r>
            <w:r>
              <w:rPr>
                <w:rFonts w:eastAsiaTheme="minorEastAsia"/>
                <w:szCs w:val="21"/>
              </w:rPr>
              <w:t>201</w:t>
            </w:r>
            <w:r>
              <w:rPr>
                <w:rFonts w:hint="eastAsia" w:eastAsiaTheme="minorEastAsia"/>
                <w:szCs w:val="21"/>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53" w:type="pct"/>
            <w:vMerge w:val="continue"/>
            <w:vAlign w:val="center"/>
          </w:tcPr>
          <w:p>
            <w:pPr>
              <w:jc w:val="center"/>
              <w:rPr>
                <w:rFonts w:eastAsiaTheme="minorEastAsia"/>
                <w:szCs w:val="21"/>
              </w:rPr>
            </w:pPr>
          </w:p>
        </w:tc>
        <w:tc>
          <w:tcPr>
            <w:tcW w:w="636" w:type="pct"/>
            <w:vMerge w:val="continue"/>
            <w:vAlign w:val="center"/>
          </w:tcPr>
          <w:p>
            <w:pPr>
              <w:jc w:val="center"/>
              <w:rPr>
                <w:rFonts w:eastAsiaTheme="minorEastAsia"/>
                <w:szCs w:val="21"/>
              </w:rPr>
            </w:pPr>
          </w:p>
        </w:tc>
        <w:tc>
          <w:tcPr>
            <w:tcW w:w="1633" w:type="pct"/>
            <w:vAlign w:val="center"/>
          </w:tcPr>
          <w:p>
            <w:pPr>
              <w:jc w:val="center"/>
              <w:rPr>
                <w:rFonts w:eastAsiaTheme="minorEastAsia"/>
                <w:szCs w:val="21"/>
              </w:rPr>
            </w:pPr>
            <w:r>
              <w:rPr>
                <w:rFonts w:eastAsiaTheme="minorEastAsia"/>
                <w:szCs w:val="21"/>
              </w:rPr>
              <w:t>横肋间距</w:t>
            </w:r>
          </w:p>
        </w:tc>
        <w:tc>
          <w:tcPr>
            <w:tcW w:w="1134" w:type="pct"/>
            <w:vMerge w:val="continue"/>
            <w:vAlign w:val="center"/>
          </w:tcPr>
          <w:p>
            <w:pPr>
              <w:jc w:val="center"/>
              <w:rPr>
                <w:rFonts w:eastAsiaTheme="minorEastAsia"/>
                <w:szCs w:val="21"/>
              </w:rPr>
            </w:pPr>
          </w:p>
        </w:tc>
        <w:tc>
          <w:tcPr>
            <w:tcW w:w="1244" w:type="pct"/>
            <w:vAlign w:val="center"/>
          </w:tcPr>
          <w:p>
            <w:pPr>
              <w:jc w:val="center"/>
              <w:rPr>
                <w:rFonts w:eastAsiaTheme="minorEastAsia"/>
                <w:szCs w:val="21"/>
              </w:rPr>
            </w:pPr>
            <w:r>
              <w:rPr>
                <w:rFonts w:eastAsiaTheme="minorEastAsia"/>
                <w:szCs w:val="21"/>
              </w:rPr>
              <w:t xml:space="preserve">GB/T </w:t>
            </w:r>
            <w:r>
              <w:rPr>
                <w:rFonts w:hint="eastAsia" w:eastAsiaTheme="minorEastAsia"/>
                <w:szCs w:val="21"/>
              </w:rPr>
              <w:t>13788</w:t>
            </w:r>
            <w:r>
              <w:t>—</w:t>
            </w:r>
            <w:r>
              <w:rPr>
                <w:rFonts w:eastAsiaTheme="minorEastAsia"/>
                <w:szCs w:val="21"/>
              </w:rPr>
              <w:t>201</w:t>
            </w:r>
            <w:r>
              <w:rPr>
                <w:rFonts w:hint="eastAsia" w:eastAsiaTheme="minorEastAsia"/>
                <w:szCs w:val="21"/>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53" w:type="pct"/>
            <w:vAlign w:val="center"/>
          </w:tcPr>
          <w:p>
            <w:pPr>
              <w:jc w:val="center"/>
              <w:rPr>
                <w:rFonts w:eastAsiaTheme="minorEastAsia"/>
                <w:szCs w:val="21"/>
              </w:rPr>
            </w:pPr>
            <w:r>
              <w:rPr>
                <w:rFonts w:hint="eastAsia" w:eastAsiaTheme="minorEastAsia"/>
                <w:szCs w:val="21"/>
              </w:rPr>
              <w:t>4</w:t>
            </w:r>
          </w:p>
        </w:tc>
        <w:tc>
          <w:tcPr>
            <w:tcW w:w="2269" w:type="pct"/>
            <w:gridSpan w:val="2"/>
            <w:vAlign w:val="center"/>
          </w:tcPr>
          <w:p>
            <w:pPr>
              <w:jc w:val="center"/>
              <w:rPr>
                <w:rFonts w:eastAsiaTheme="minorEastAsia"/>
                <w:szCs w:val="21"/>
              </w:rPr>
            </w:pPr>
            <w:r>
              <w:rPr>
                <w:rFonts w:eastAsiaTheme="minorEastAsia"/>
                <w:szCs w:val="21"/>
              </w:rPr>
              <w:t>重量偏差</w:t>
            </w:r>
          </w:p>
        </w:tc>
        <w:tc>
          <w:tcPr>
            <w:tcW w:w="1134" w:type="pct"/>
            <w:vAlign w:val="center"/>
          </w:tcPr>
          <w:p>
            <w:pPr>
              <w:jc w:val="center"/>
              <w:rPr>
                <w:rFonts w:eastAsiaTheme="minorEastAsia"/>
                <w:szCs w:val="21"/>
              </w:rPr>
            </w:pPr>
            <w:r>
              <w:rPr>
                <w:rFonts w:eastAsiaTheme="minorEastAsia"/>
                <w:szCs w:val="21"/>
              </w:rPr>
              <w:t xml:space="preserve">GB/T </w:t>
            </w:r>
            <w:r>
              <w:rPr>
                <w:rFonts w:hint="eastAsia" w:eastAsiaTheme="minorEastAsia"/>
                <w:szCs w:val="21"/>
              </w:rPr>
              <w:t>13788</w:t>
            </w:r>
            <w:r>
              <w:t>—</w:t>
            </w:r>
            <w:r>
              <w:rPr>
                <w:rFonts w:eastAsiaTheme="minorEastAsia"/>
                <w:szCs w:val="21"/>
              </w:rPr>
              <w:t>201</w:t>
            </w:r>
            <w:r>
              <w:rPr>
                <w:rFonts w:hint="eastAsia" w:eastAsiaTheme="minorEastAsia"/>
                <w:szCs w:val="21"/>
              </w:rPr>
              <w:t>7</w:t>
            </w:r>
          </w:p>
        </w:tc>
        <w:tc>
          <w:tcPr>
            <w:tcW w:w="1244" w:type="pct"/>
            <w:vAlign w:val="center"/>
          </w:tcPr>
          <w:p>
            <w:pPr>
              <w:jc w:val="center"/>
              <w:rPr>
                <w:rFonts w:eastAsiaTheme="minorEastAsia"/>
                <w:szCs w:val="21"/>
              </w:rPr>
            </w:pPr>
            <w:r>
              <w:rPr>
                <w:rFonts w:eastAsiaTheme="minorEastAsia"/>
                <w:szCs w:val="21"/>
              </w:rPr>
              <w:t xml:space="preserve">GB/T </w:t>
            </w:r>
            <w:r>
              <w:rPr>
                <w:rFonts w:hint="eastAsia" w:eastAsiaTheme="minorEastAsia"/>
                <w:szCs w:val="21"/>
              </w:rPr>
              <w:t>13788</w:t>
            </w:r>
            <w:r>
              <w:t>—</w:t>
            </w:r>
            <w:r>
              <w:rPr>
                <w:rFonts w:eastAsiaTheme="minorEastAsia"/>
                <w:szCs w:val="21"/>
              </w:rPr>
              <w:t>201</w:t>
            </w:r>
            <w:r>
              <w:rPr>
                <w:rFonts w:hint="eastAsia" w:eastAsiaTheme="minorEastAsia"/>
                <w:szCs w:val="21"/>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53" w:type="pct"/>
            <w:vAlign w:val="center"/>
          </w:tcPr>
          <w:p>
            <w:pPr>
              <w:jc w:val="center"/>
              <w:rPr>
                <w:rFonts w:eastAsiaTheme="minorEastAsia"/>
                <w:szCs w:val="21"/>
              </w:rPr>
            </w:pPr>
            <w:r>
              <w:rPr>
                <w:rFonts w:hint="eastAsia" w:eastAsiaTheme="minorEastAsia"/>
                <w:szCs w:val="21"/>
              </w:rPr>
              <w:t>5</w:t>
            </w:r>
          </w:p>
        </w:tc>
        <w:tc>
          <w:tcPr>
            <w:tcW w:w="2269" w:type="pct"/>
            <w:gridSpan w:val="2"/>
            <w:vAlign w:val="center"/>
          </w:tcPr>
          <w:p>
            <w:pPr>
              <w:jc w:val="center"/>
              <w:rPr>
                <w:rFonts w:eastAsiaTheme="minorEastAsia"/>
                <w:szCs w:val="21"/>
              </w:rPr>
            </w:pPr>
            <w:r>
              <w:rPr>
                <w:rFonts w:eastAsiaTheme="minorEastAsia"/>
                <w:szCs w:val="21"/>
              </w:rPr>
              <w:t>表面标志</w:t>
            </w:r>
          </w:p>
        </w:tc>
        <w:tc>
          <w:tcPr>
            <w:tcW w:w="1134" w:type="pct"/>
            <w:vAlign w:val="center"/>
          </w:tcPr>
          <w:p>
            <w:pPr>
              <w:jc w:val="center"/>
              <w:rPr>
                <w:rFonts w:eastAsiaTheme="minorEastAsia"/>
                <w:szCs w:val="21"/>
              </w:rPr>
            </w:pPr>
            <w:r>
              <w:rPr>
                <w:rFonts w:eastAsiaTheme="minorEastAsia"/>
                <w:szCs w:val="21"/>
              </w:rPr>
              <w:t xml:space="preserve">GB/T </w:t>
            </w:r>
            <w:r>
              <w:rPr>
                <w:rFonts w:hint="eastAsia" w:eastAsiaTheme="minorEastAsia"/>
                <w:szCs w:val="21"/>
              </w:rPr>
              <w:t>13788</w:t>
            </w:r>
            <w:r>
              <w:t>—</w:t>
            </w:r>
            <w:r>
              <w:rPr>
                <w:rFonts w:eastAsiaTheme="minorEastAsia"/>
                <w:szCs w:val="21"/>
              </w:rPr>
              <w:t>201</w:t>
            </w:r>
            <w:r>
              <w:rPr>
                <w:rFonts w:hint="eastAsia" w:eastAsiaTheme="minorEastAsia"/>
                <w:szCs w:val="21"/>
              </w:rPr>
              <w:t>7</w:t>
            </w:r>
          </w:p>
        </w:tc>
        <w:tc>
          <w:tcPr>
            <w:tcW w:w="1244" w:type="pct"/>
            <w:vAlign w:val="center"/>
          </w:tcPr>
          <w:p>
            <w:pPr>
              <w:jc w:val="center"/>
              <w:rPr>
                <w:rFonts w:eastAsiaTheme="minorEastAsia"/>
                <w:szCs w:val="21"/>
              </w:rPr>
            </w:pPr>
            <w:r>
              <w:rPr>
                <w:rFonts w:eastAsiaTheme="minorEastAsia"/>
                <w:szCs w:val="21"/>
              </w:rPr>
              <w:t xml:space="preserve">GB/T </w:t>
            </w:r>
            <w:r>
              <w:rPr>
                <w:rFonts w:hint="eastAsia" w:eastAsiaTheme="minorEastAsia"/>
                <w:szCs w:val="21"/>
              </w:rPr>
              <w:t>13788</w:t>
            </w:r>
            <w:r>
              <w:t>—</w:t>
            </w:r>
            <w:r>
              <w:rPr>
                <w:rFonts w:eastAsiaTheme="minorEastAsia"/>
                <w:szCs w:val="21"/>
              </w:rPr>
              <w:t>201</w:t>
            </w:r>
            <w:r>
              <w:rPr>
                <w:rFonts w:hint="eastAsia" w:eastAsiaTheme="minorEastAsia"/>
                <w:szCs w:val="21"/>
              </w:rPr>
              <w:t>7</w:t>
            </w:r>
          </w:p>
        </w:tc>
      </w:tr>
    </w:tbl>
    <w:p>
      <w:pPr>
        <w:adjustRightInd w:val="0"/>
        <w:snapToGrid w:val="0"/>
        <w:spacing w:line="440" w:lineRule="exact"/>
        <w:ind w:firstLine="420" w:firstLineChars="200"/>
        <w:rPr>
          <w:color w:val="000000"/>
          <w:szCs w:val="21"/>
        </w:rPr>
      </w:pPr>
    </w:p>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eastAsiaTheme="minorEastAsia"/>
          <w:szCs w:val="21"/>
        </w:rPr>
      </w:pPr>
      <w:r>
        <w:rPr>
          <w:rFonts w:eastAsiaTheme="minorEastAsia"/>
          <w:szCs w:val="21"/>
        </w:rPr>
        <w:t>表</w:t>
      </w:r>
      <w:r>
        <w:rPr>
          <w:rFonts w:hint="eastAsia" w:eastAsiaTheme="minorEastAsia"/>
          <w:szCs w:val="21"/>
          <w:lang w:val="en-US" w:eastAsia="zh-CN"/>
        </w:rPr>
        <w:t>4</w:t>
      </w:r>
      <w:r>
        <w:rPr>
          <w:rFonts w:hint="eastAsia" w:eastAsiaTheme="minorEastAsia"/>
          <w:szCs w:val="21"/>
        </w:rPr>
        <w:t xml:space="preserve"> 热轧型钢</w:t>
      </w:r>
    </w:p>
    <w:tbl>
      <w:tblPr>
        <w:tblStyle w:val="7"/>
        <w:tblW w:w="92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5"/>
        <w:gridCol w:w="1390"/>
        <w:gridCol w:w="1818"/>
        <w:gridCol w:w="2268"/>
        <w:gridCol w:w="3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655" w:type="dxa"/>
            <w:vAlign w:val="center"/>
          </w:tcPr>
          <w:p>
            <w:pPr>
              <w:jc w:val="center"/>
              <w:rPr>
                <w:rFonts w:eastAsiaTheme="minorEastAsia"/>
                <w:szCs w:val="21"/>
              </w:rPr>
            </w:pPr>
            <w:r>
              <w:rPr>
                <w:rFonts w:eastAsiaTheme="minorEastAsia"/>
                <w:szCs w:val="21"/>
              </w:rPr>
              <w:t>序号</w:t>
            </w:r>
          </w:p>
        </w:tc>
        <w:tc>
          <w:tcPr>
            <w:tcW w:w="3208" w:type="dxa"/>
            <w:gridSpan w:val="2"/>
            <w:vAlign w:val="center"/>
          </w:tcPr>
          <w:p>
            <w:pPr>
              <w:jc w:val="center"/>
              <w:rPr>
                <w:rFonts w:eastAsiaTheme="minorEastAsia"/>
                <w:szCs w:val="21"/>
              </w:rPr>
            </w:pPr>
            <w:r>
              <w:rPr>
                <w:rFonts w:eastAsiaTheme="minorEastAsia"/>
                <w:szCs w:val="21"/>
              </w:rPr>
              <w:t>检验项目</w:t>
            </w:r>
          </w:p>
        </w:tc>
        <w:tc>
          <w:tcPr>
            <w:tcW w:w="2268" w:type="dxa"/>
          </w:tcPr>
          <w:p>
            <w:pPr>
              <w:jc w:val="center"/>
              <w:rPr>
                <w:rFonts w:eastAsiaTheme="minorEastAsia"/>
                <w:szCs w:val="21"/>
              </w:rPr>
            </w:pPr>
            <w:r>
              <w:rPr>
                <w:rFonts w:eastAsiaTheme="minorEastAsia"/>
                <w:szCs w:val="21"/>
              </w:rPr>
              <w:t>检验依据</w:t>
            </w:r>
          </w:p>
        </w:tc>
        <w:tc>
          <w:tcPr>
            <w:tcW w:w="3119" w:type="dxa"/>
            <w:vAlign w:val="center"/>
          </w:tcPr>
          <w:p>
            <w:pPr>
              <w:jc w:val="center"/>
              <w:rPr>
                <w:rFonts w:eastAsiaTheme="minorEastAsia"/>
                <w:szCs w:val="21"/>
              </w:rPr>
            </w:pPr>
            <w:r>
              <w:rPr>
                <w:rFonts w:eastAsiaTheme="minorEastAsia"/>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blHeader/>
          <w:jc w:val="center"/>
        </w:trPr>
        <w:tc>
          <w:tcPr>
            <w:tcW w:w="655" w:type="dxa"/>
            <w:vAlign w:val="center"/>
          </w:tcPr>
          <w:p>
            <w:pPr>
              <w:jc w:val="center"/>
              <w:rPr>
                <w:rFonts w:eastAsiaTheme="minorEastAsia"/>
                <w:szCs w:val="21"/>
              </w:rPr>
            </w:pPr>
            <w:r>
              <w:rPr>
                <w:rFonts w:hint="eastAsia" w:eastAsiaTheme="minorEastAsia"/>
                <w:szCs w:val="21"/>
              </w:rPr>
              <w:t>1</w:t>
            </w:r>
          </w:p>
        </w:tc>
        <w:tc>
          <w:tcPr>
            <w:tcW w:w="3208" w:type="dxa"/>
            <w:gridSpan w:val="2"/>
            <w:vAlign w:val="center"/>
          </w:tcPr>
          <w:p>
            <w:pPr>
              <w:jc w:val="center"/>
              <w:rPr>
                <w:rFonts w:eastAsiaTheme="minorEastAsia"/>
                <w:szCs w:val="21"/>
              </w:rPr>
            </w:pPr>
            <w:r>
              <w:rPr>
                <w:rFonts w:eastAsiaTheme="minorEastAsia"/>
                <w:szCs w:val="21"/>
              </w:rPr>
              <w:t>化学成分</w:t>
            </w:r>
          </w:p>
        </w:tc>
        <w:tc>
          <w:tcPr>
            <w:tcW w:w="2268" w:type="dxa"/>
            <w:vAlign w:val="center"/>
          </w:tcPr>
          <w:p>
            <w:pPr>
              <w:jc w:val="center"/>
              <w:rPr>
                <w:rFonts w:eastAsiaTheme="minorEastAsia"/>
                <w:szCs w:val="21"/>
              </w:rPr>
            </w:pPr>
            <w:r>
              <w:rPr>
                <w:rFonts w:eastAsiaTheme="minorEastAsia"/>
                <w:szCs w:val="21"/>
              </w:rPr>
              <w:t xml:space="preserve">GB/T </w:t>
            </w:r>
            <w:r>
              <w:rPr>
                <w:rFonts w:hint="eastAsia" w:eastAsiaTheme="minorEastAsia"/>
                <w:szCs w:val="21"/>
              </w:rPr>
              <w:t>706</w:t>
            </w:r>
            <w:r>
              <w:t>—</w:t>
            </w:r>
            <w:r>
              <w:rPr>
                <w:rFonts w:eastAsiaTheme="minorEastAsia"/>
                <w:szCs w:val="21"/>
              </w:rPr>
              <w:t>201</w:t>
            </w:r>
            <w:r>
              <w:rPr>
                <w:rFonts w:hint="eastAsia" w:eastAsiaTheme="minorEastAsia"/>
                <w:szCs w:val="21"/>
              </w:rPr>
              <w:t xml:space="preserve">6 </w:t>
            </w:r>
          </w:p>
        </w:tc>
        <w:tc>
          <w:tcPr>
            <w:tcW w:w="3119" w:type="dxa"/>
            <w:vAlign w:val="center"/>
          </w:tcPr>
          <w:p>
            <w:pPr>
              <w:jc w:val="center"/>
              <w:rPr>
                <w:rFonts w:eastAsiaTheme="minorEastAsia"/>
                <w:szCs w:val="21"/>
              </w:rPr>
            </w:pPr>
            <w:r>
              <w:rPr>
                <w:rFonts w:hint="eastAsia" w:eastAsiaTheme="minorEastAsia"/>
                <w:szCs w:val="21"/>
              </w:rPr>
              <w:t>按相应牌号标准的规定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655" w:type="dxa"/>
            <w:vMerge w:val="restart"/>
            <w:vAlign w:val="center"/>
          </w:tcPr>
          <w:p>
            <w:pPr>
              <w:jc w:val="center"/>
              <w:rPr>
                <w:rFonts w:eastAsiaTheme="minorEastAsia"/>
                <w:szCs w:val="21"/>
              </w:rPr>
            </w:pPr>
            <w:r>
              <w:rPr>
                <w:rFonts w:hint="eastAsia" w:eastAsiaTheme="minorEastAsia"/>
                <w:szCs w:val="21"/>
              </w:rPr>
              <w:t>2</w:t>
            </w:r>
          </w:p>
        </w:tc>
        <w:tc>
          <w:tcPr>
            <w:tcW w:w="1390" w:type="dxa"/>
            <w:vMerge w:val="restart"/>
            <w:vAlign w:val="center"/>
          </w:tcPr>
          <w:p>
            <w:pPr>
              <w:jc w:val="center"/>
              <w:rPr>
                <w:rFonts w:eastAsiaTheme="minorEastAsia"/>
                <w:szCs w:val="21"/>
              </w:rPr>
            </w:pPr>
            <w:r>
              <w:rPr>
                <w:rFonts w:eastAsiaTheme="minorEastAsia"/>
                <w:szCs w:val="21"/>
              </w:rPr>
              <w:t>力学性能</w:t>
            </w:r>
          </w:p>
        </w:tc>
        <w:tc>
          <w:tcPr>
            <w:tcW w:w="1818" w:type="dxa"/>
            <w:vAlign w:val="center"/>
          </w:tcPr>
          <w:p>
            <w:pPr>
              <w:jc w:val="center"/>
              <w:rPr>
                <w:rFonts w:eastAsiaTheme="minorEastAsia"/>
                <w:szCs w:val="21"/>
              </w:rPr>
            </w:pPr>
            <w:r>
              <w:rPr>
                <w:rFonts w:hint="eastAsia" w:eastAsiaTheme="minorEastAsia"/>
                <w:szCs w:val="21"/>
              </w:rPr>
              <w:t>拉伸</w:t>
            </w:r>
          </w:p>
        </w:tc>
        <w:tc>
          <w:tcPr>
            <w:tcW w:w="2268" w:type="dxa"/>
            <w:vMerge w:val="restart"/>
            <w:vAlign w:val="center"/>
          </w:tcPr>
          <w:p>
            <w:pPr>
              <w:jc w:val="center"/>
              <w:rPr>
                <w:rFonts w:eastAsiaTheme="minorEastAsia"/>
                <w:szCs w:val="21"/>
              </w:rPr>
            </w:pPr>
            <w:r>
              <w:rPr>
                <w:rFonts w:eastAsiaTheme="minorEastAsia"/>
                <w:szCs w:val="21"/>
              </w:rPr>
              <w:t xml:space="preserve">GB/T </w:t>
            </w:r>
            <w:r>
              <w:rPr>
                <w:rFonts w:hint="eastAsia" w:eastAsiaTheme="minorEastAsia"/>
                <w:szCs w:val="21"/>
              </w:rPr>
              <w:t>706</w:t>
            </w:r>
            <w:r>
              <w:t>—</w:t>
            </w:r>
            <w:r>
              <w:rPr>
                <w:rFonts w:eastAsiaTheme="minorEastAsia"/>
                <w:szCs w:val="21"/>
              </w:rPr>
              <w:t>201</w:t>
            </w:r>
            <w:r>
              <w:rPr>
                <w:rFonts w:hint="eastAsia" w:eastAsiaTheme="minorEastAsia"/>
                <w:szCs w:val="21"/>
              </w:rPr>
              <w:t xml:space="preserve">6 </w:t>
            </w:r>
          </w:p>
        </w:tc>
        <w:tc>
          <w:tcPr>
            <w:tcW w:w="3119" w:type="dxa"/>
            <w:vAlign w:val="center"/>
          </w:tcPr>
          <w:p>
            <w:pPr>
              <w:jc w:val="center"/>
              <w:rPr>
                <w:rFonts w:eastAsiaTheme="minorEastAsia"/>
                <w:szCs w:val="21"/>
              </w:rPr>
            </w:pPr>
            <w:r>
              <w:rPr>
                <w:rFonts w:eastAsiaTheme="minorEastAsia"/>
                <w:szCs w:val="21"/>
              </w:rPr>
              <w:t>GB/T 228.1-2021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55" w:type="dxa"/>
            <w:vMerge w:val="continue"/>
            <w:vAlign w:val="center"/>
          </w:tcPr>
          <w:p>
            <w:pPr>
              <w:jc w:val="center"/>
              <w:rPr>
                <w:rFonts w:eastAsiaTheme="minorEastAsia"/>
                <w:szCs w:val="21"/>
              </w:rPr>
            </w:pPr>
          </w:p>
        </w:tc>
        <w:tc>
          <w:tcPr>
            <w:tcW w:w="1390" w:type="dxa"/>
            <w:vMerge w:val="continue"/>
            <w:vAlign w:val="center"/>
          </w:tcPr>
          <w:p>
            <w:pPr>
              <w:jc w:val="center"/>
              <w:rPr>
                <w:rFonts w:eastAsiaTheme="minorEastAsia"/>
                <w:szCs w:val="21"/>
              </w:rPr>
            </w:pPr>
          </w:p>
        </w:tc>
        <w:tc>
          <w:tcPr>
            <w:tcW w:w="1818" w:type="dxa"/>
            <w:vAlign w:val="center"/>
          </w:tcPr>
          <w:p>
            <w:pPr>
              <w:jc w:val="center"/>
              <w:rPr>
                <w:rFonts w:eastAsiaTheme="minorEastAsia"/>
                <w:szCs w:val="21"/>
              </w:rPr>
            </w:pPr>
            <w:r>
              <w:rPr>
                <w:rFonts w:hint="eastAsia" w:eastAsiaTheme="minorEastAsia"/>
                <w:szCs w:val="21"/>
              </w:rPr>
              <w:t>冲击</w:t>
            </w:r>
          </w:p>
        </w:tc>
        <w:tc>
          <w:tcPr>
            <w:tcW w:w="2268" w:type="dxa"/>
            <w:vMerge w:val="continue"/>
            <w:vAlign w:val="center"/>
          </w:tcPr>
          <w:p>
            <w:pPr>
              <w:jc w:val="center"/>
              <w:rPr>
                <w:rFonts w:eastAsiaTheme="minorEastAsia"/>
                <w:szCs w:val="21"/>
              </w:rPr>
            </w:pPr>
          </w:p>
        </w:tc>
        <w:tc>
          <w:tcPr>
            <w:tcW w:w="3119" w:type="dxa"/>
            <w:vAlign w:val="center"/>
          </w:tcPr>
          <w:p>
            <w:pPr>
              <w:jc w:val="center"/>
              <w:rPr>
                <w:rFonts w:eastAsiaTheme="minorEastAsia"/>
                <w:szCs w:val="21"/>
              </w:rPr>
            </w:pPr>
            <w:r>
              <w:rPr>
                <w:rFonts w:eastAsiaTheme="minorEastAsia"/>
                <w:szCs w:val="21"/>
              </w:rPr>
              <w:t>GB/T</w:t>
            </w:r>
            <w:r>
              <w:rPr>
                <w:rFonts w:hint="eastAsia" w:eastAsiaTheme="minorEastAsia"/>
                <w:szCs w:val="21"/>
              </w:rPr>
              <w:t xml:space="preserve"> </w:t>
            </w:r>
            <w:r>
              <w:rPr>
                <w:rFonts w:eastAsiaTheme="minorEastAsia"/>
                <w:szCs w:val="21"/>
              </w:rPr>
              <w:t>229-2020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655" w:type="dxa"/>
            <w:vAlign w:val="center"/>
          </w:tcPr>
          <w:p>
            <w:pPr>
              <w:jc w:val="center"/>
              <w:rPr>
                <w:rFonts w:eastAsiaTheme="minorEastAsia"/>
                <w:szCs w:val="21"/>
              </w:rPr>
            </w:pPr>
            <w:r>
              <w:rPr>
                <w:rFonts w:hint="eastAsia" w:eastAsiaTheme="minorEastAsia"/>
                <w:szCs w:val="21"/>
              </w:rPr>
              <w:t>3</w:t>
            </w:r>
          </w:p>
        </w:tc>
        <w:tc>
          <w:tcPr>
            <w:tcW w:w="1390" w:type="dxa"/>
            <w:vAlign w:val="center"/>
          </w:tcPr>
          <w:p>
            <w:pPr>
              <w:jc w:val="center"/>
              <w:rPr>
                <w:rFonts w:eastAsiaTheme="minorEastAsia"/>
                <w:szCs w:val="21"/>
              </w:rPr>
            </w:pPr>
            <w:r>
              <w:rPr>
                <w:rFonts w:eastAsiaTheme="minorEastAsia"/>
                <w:szCs w:val="21"/>
              </w:rPr>
              <w:t>工艺性能</w:t>
            </w:r>
          </w:p>
        </w:tc>
        <w:tc>
          <w:tcPr>
            <w:tcW w:w="1818" w:type="dxa"/>
            <w:vAlign w:val="center"/>
          </w:tcPr>
          <w:p>
            <w:pPr>
              <w:jc w:val="center"/>
              <w:rPr>
                <w:rFonts w:eastAsiaTheme="minorEastAsia"/>
                <w:szCs w:val="21"/>
              </w:rPr>
            </w:pPr>
            <w:r>
              <w:rPr>
                <w:rFonts w:eastAsiaTheme="minorEastAsia"/>
                <w:szCs w:val="21"/>
              </w:rPr>
              <w:t>弯曲</w:t>
            </w:r>
          </w:p>
        </w:tc>
        <w:tc>
          <w:tcPr>
            <w:tcW w:w="2268" w:type="dxa"/>
            <w:vAlign w:val="center"/>
          </w:tcPr>
          <w:p>
            <w:pPr>
              <w:jc w:val="center"/>
              <w:rPr>
                <w:rFonts w:eastAsiaTheme="minorEastAsia"/>
                <w:szCs w:val="21"/>
              </w:rPr>
            </w:pPr>
            <w:r>
              <w:rPr>
                <w:rFonts w:eastAsiaTheme="minorEastAsia"/>
                <w:szCs w:val="21"/>
              </w:rPr>
              <w:t xml:space="preserve">GB/T </w:t>
            </w:r>
            <w:r>
              <w:rPr>
                <w:rFonts w:hint="eastAsia" w:eastAsiaTheme="minorEastAsia"/>
                <w:szCs w:val="21"/>
              </w:rPr>
              <w:t>706</w:t>
            </w:r>
            <w:r>
              <w:t>—</w:t>
            </w:r>
            <w:r>
              <w:rPr>
                <w:rFonts w:eastAsiaTheme="minorEastAsia"/>
                <w:szCs w:val="21"/>
              </w:rPr>
              <w:t>201</w:t>
            </w:r>
            <w:r>
              <w:rPr>
                <w:rFonts w:hint="eastAsia" w:eastAsiaTheme="minorEastAsia"/>
                <w:szCs w:val="21"/>
              </w:rPr>
              <w:t>6</w:t>
            </w:r>
          </w:p>
        </w:tc>
        <w:tc>
          <w:tcPr>
            <w:tcW w:w="3119" w:type="dxa"/>
            <w:vAlign w:val="center"/>
          </w:tcPr>
          <w:p>
            <w:pPr>
              <w:jc w:val="center"/>
              <w:rPr>
                <w:rFonts w:eastAsiaTheme="minorEastAsia"/>
                <w:szCs w:val="21"/>
              </w:rPr>
            </w:pPr>
            <w:r>
              <w:rPr>
                <w:rFonts w:eastAsiaTheme="minorEastAsia"/>
                <w:szCs w:val="21"/>
              </w:rPr>
              <w:t>GB/T 232</w:t>
            </w:r>
            <w:r>
              <w:t>—</w:t>
            </w:r>
            <w:r>
              <w:rPr>
                <w:rFonts w:eastAsiaTheme="minorEastAsia"/>
                <w:szCs w:val="21"/>
              </w:rPr>
              <w:t>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655" w:type="dxa"/>
            <w:vAlign w:val="center"/>
          </w:tcPr>
          <w:p>
            <w:pPr>
              <w:jc w:val="center"/>
              <w:rPr>
                <w:rFonts w:eastAsiaTheme="minorEastAsia"/>
                <w:szCs w:val="21"/>
              </w:rPr>
            </w:pPr>
            <w:r>
              <w:rPr>
                <w:rFonts w:hint="eastAsia" w:eastAsiaTheme="minorEastAsia"/>
                <w:szCs w:val="21"/>
              </w:rPr>
              <w:t>4</w:t>
            </w:r>
          </w:p>
        </w:tc>
        <w:tc>
          <w:tcPr>
            <w:tcW w:w="3208" w:type="dxa"/>
            <w:gridSpan w:val="2"/>
            <w:vAlign w:val="center"/>
          </w:tcPr>
          <w:p>
            <w:pPr>
              <w:jc w:val="center"/>
              <w:rPr>
                <w:rFonts w:eastAsiaTheme="minorEastAsia"/>
                <w:szCs w:val="21"/>
              </w:rPr>
            </w:pPr>
            <w:r>
              <w:rPr>
                <w:rFonts w:eastAsiaTheme="minorEastAsia"/>
                <w:szCs w:val="21"/>
              </w:rPr>
              <w:t>尺寸外形</w:t>
            </w:r>
          </w:p>
        </w:tc>
        <w:tc>
          <w:tcPr>
            <w:tcW w:w="2268" w:type="dxa"/>
            <w:vAlign w:val="center"/>
          </w:tcPr>
          <w:p>
            <w:pPr>
              <w:jc w:val="center"/>
              <w:rPr>
                <w:rFonts w:eastAsiaTheme="minorEastAsia"/>
                <w:szCs w:val="21"/>
              </w:rPr>
            </w:pPr>
            <w:r>
              <w:rPr>
                <w:rFonts w:eastAsiaTheme="minorEastAsia"/>
                <w:szCs w:val="21"/>
              </w:rPr>
              <w:t xml:space="preserve">GB/T </w:t>
            </w:r>
            <w:r>
              <w:rPr>
                <w:rFonts w:hint="eastAsia" w:eastAsiaTheme="minorEastAsia"/>
                <w:szCs w:val="21"/>
              </w:rPr>
              <w:t>706</w:t>
            </w:r>
            <w:r>
              <w:t>—</w:t>
            </w:r>
            <w:r>
              <w:rPr>
                <w:rFonts w:eastAsiaTheme="minorEastAsia"/>
                <w:szCs w:val="21"/>
              </w:rPr>
              <w:t>201</w:t>
            </w:r>
            <w:r>
              <w:rPr>
                <w:rFonts w:hint="eastAsia" w:eastAsiaTheme="minorEastAsia"/>
                <w:szCs w:val="21"/>
              </w:rPr>
              <w:t>6</w:t>
            </w:r>
          </w:p>
        </w:tc>
        <w:tc>
          <w:tcPr>
            <w:tcW w:w="3119" w:type="dxa"/>
            <w:vAlign w:val="center"/>
          </w:tcPr>
          <w:p>
            <w:pPr>
              <w:jc w:val="center"/>
              <w:rPr>
                <w:rFonts w:eastAsiaTheme="minorEastAsia"/>
                <w:szCs w:val="21"/>
              </w:rPr>
            </w:pPr>
            <w:r>
              <w:rPr>
                <w:rFonts w:eastAsiaTheme="minorEastAsia"/>
                <w:szCs w:val="21"/>
              </w:rPr>
              <w:t xml:space="preserve">GB/T </w:t>
            </w:r>
            <w:r>
              <w:rPr>
                <w:rFonts w:hint="eastAsia" w:eastAsiaTheme="minorEastAsia"/>
                <w:szCs w:val="21"/>
              </w:rPr>
              <w:t>706</w:t>
            </w:r>
            <w:r>
              <w:t>—</w:t>
            </w:r>
            <w:r>
              <w:rPr>
                <w:rFonts w:eastAsiaTheme="minorEastAsia"/>
                <w:szCs w:val="21"/>
              </w:rPr>
              <w:t>201</w:t>
            </w:r>
            <w:r>
              <w:rPr>
                <w:rFonts w:hint="eastAsia" w:eastAsiaTheme="minorEastAsia"/>
                <w:szCs w:val="21"/>
              </w:rPr>
              <w:t xml:space="preserve">6 </w:t>
            </w:r>
          </w:p>
        </w:tc>
      </w:tr>
    </w:tbl>
    <w:p>
      <w:pPr>
        <w:adjustRightInd w:val="0"/>
        <w:snapToGrid w:val="0"/>
        <w:spacing w:line="440" w:lineRule="exact"/>
        <w:rPr>
          <w:color w:val="000000"/>
          <w:szCs w:val="21"/>
        </w:rPr>
      </w:pPr>
    </w:p>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eastAsiaTheme="minorEastAsia"/>
          <w:szCs w:val="21"/>
        </w:rPr>
      </w:pPr>
      <w:r>
        <w:rPr>
          <w:rFonts w:eastAsiaTheme="minorEastAsia"/>
          <w:szCs w:val="21"/>
        </w:rPr>
        <w:t>表</w:t>
      </w:r>
      <w:r>
        <w:rPr>
          <w:rFonts w:hint="eastAsia" w:eastAsiaTheme="minorEastAsia"/>
          <w:szCs w:val="21"/>
          <w:lang w:val="en-US" w:eastAsia="zh-CN"/>
        </w:rPr>
        <w:t>5</w:t>
      </w:r>
      <w:r>
        <w:rPr>
          <w:rFonts w:hint="eastAsia" w:eastAsiaTheme="minorEastAsia"/>
          <w:szCs w:val="21"/>
        </w:rPr>
        <w:t xml:space="preserve"> 热轧H型钢和部分T型钢</w:t>
      </w:r>
    </w:p>
    <w:tbl>
      <w:tblPr>
        <w:tblStyle w:val="7"/>
        <w:tblW w:w="93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6"/>
        <w:gridCol w:w="1458"/>
        <w:gridCol w:w="1818"/>
        <w:gridCol w:w="2268"/>
        <w:gridCol w:w="3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716" w:type="dxa"/>
            <w:vAlign w:val="center"/>
          </w:tcPr>
          <w:p>
            <w:pPr>
              <w:jc w:val="center"/>
              <w:rPr>
                <w:rFonts w:eastAsiaTheme="minorEastAsia"/>
                <w:szCs w:val="21"/>
              </w:rPr>
            </w:pPr>
            <w:r>
              <w:rPr>
                <w:rFonts w:eastAsiaTheme="minorEastAsia"/>
                <w:szCs w:val="21"/>
              </w:rPr>
              <w:t>序号</w:t>
            </w:r>
          </w:p>
        </w:tc>
        <w:tc>
          <w:tcPr>
            <w:tcW w:w="3276" w:type="dxa"/>
            <w:gridSpan w:val="2"/>
            <w:vAlign w:val="center"/>
          </w:tcPr>
          <w:p>
            <w:pPr>
              <w:jc w:val="center"/>
              <w:rPr>
                <w:rFonts w:eastAsiaTheme="minorEastAsia"/>
                <w:szCs w:val="21"/>
              </w:rPr>
            </w:pPr>
            <w:r>
              <w:rPr>
                <w:rFonts w:eastAsiaTheme="minorEastAsia"/>
                <w:szCs w:val="21"/>
              </w:rPr>
              <w:t>检验项目</w:t>
            </w:r>
          </w:p>
        </w:tc>
        <w:tc>
          <w:tcPr>
            <w:tcW w:w="2268" w:type="dxa"/>
          </w:tcPr>
          <w:p>
            <w:pPr>
              <w:jc w:val="center"/>
              <w:rPr>
                <w:rFonts w:eastAsiaTheme="minorEastAsia"/>
                <w:szCs w:val="21"/>
              </w:rPr>
            </w:pPr>
            <w:r>
              <w:rPr>
                <w:rFonts w:eastAsiaTheme="minorEastAsia"/>
                <w:szCs w:val="21"/>
              </w:rPr>
              <w:t>检验依据</w:t>
            </w:r>
          </w:p>
        </w:tc>
        <w:tc>
          <w:tcPr>
            <w:tcW w:w="3119" w:type="dxa"/>
            <w:vAlign w:val="center"/>
          </w:tcPr>
          <w:p>
            <w:pPr>
              <w:jc w:val="center"/>
              <w:rPr>
                <w:rFonts w:eastAsiaTheme="minorEastAsia"/>
                <w:szCs w:val="21"/>
              </w:rPr>
            </w:pPr>
            <w:r>
              <w:rPr>
                <w:rFonts w:eastAsiaTheme="minorEastAsia"/>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716" w:type="dxa"/>
            <w:vAlign w:val="center"/>
          </w:tcPr>
          <w:p>
            <w:pPr>
              <w:jc w:val="center"/>
              <w:rPr>
                <w:rFonts w:eastAsiaTheme="minorEastAsia"/>
                <w:szCs w:val="21"/>
              </w:rPr>
            </w:pPr>
            <w:r>
              <w:rPr>
                <w:rFonts w:hint="eastAsia" w:eastAsiaTheme="minorEastAsia"/>
                <w:szCs w:val="21"/>
              </w:rPr>
              <w:t>1</w:t>
            </w:r>
          </w:p>
        </w:tc>
        <w:tc>
          <w:tcPr>
            <w:tcW w:w="3276" w:type="dxa"/>
            <w:gridSpan w:val="2"/>
            <w:vAlign w:val="center"/>
          </w:tcPr>
          <w:p>
            <w:pPr>
              <w:jc w:val="center"/>
              <w:rPr>
                <w:rFonts w:eastAsiaTheme="minorEastAsia"/>
                <w:szCs w:val="21"/>
              </w:rPr>
            </w:pPr>
            <w:r>
              <w:rPr>
                <w:rFonts w:eastAsiaTheme="minorEastAsia"/>
                <w:szCs w:val="21"/>
              </w:rPr>
              <w:t>化学成分</w:t>
            </w:r>
          </w:p>
        </w:tc>
        <w:tc>
          <w:tcPr>
            <w:tcW w:w="2268" w:type="dxa"/>
            <w:vAlign w:val="center"/>
          </w:tcPr>
          <w:p>
            <w:pPr>
              <w:jc w:val="center"/>
              <w:rPr>
                <w:rFonts w:eastAsiaTheme="minorEastAsia"/>
                <w:szCs w:val="21"/>
              </w:rPr>
            </w:pPr>
            <w:r>
              <w:rPr>
                <w:rFonts w:eastAsiaTheme="minorEastAsia"/>
                <w:szCs w:val="21"/>
              </w:rPr>
              <w:t>GB/T</w:t>
            </w:r>
            <w:r>
              <w:rPr>
                <w:rFonts w:hint="eastAsia" w:eastAsiaTheme="minorEastAsia"/>
                <w:szCs w:val="21"/>
              </w:rPr>
              <w:t xml:space="preserve"> 11263</w:t>
            </w:r>
            <w:r>
              <w:t>—</w:t>
            </w:r>
            <w:r>
              <w:rPr>
                <w:rFonts w:eastAsiaTheme="minorEastAsia"/>
                <w:szCs w:val="21"/>
              </w:rPr>
              <w:t>20</w:t>
            </w:r>
            <w:r>
              <w:rPr>
                <w:rFonts w:hint="eastAsia" w:eastAsiaTheme="minorEastAsia"/>
                <w:szCs w:val="21"/>
              </w:rPr>
              <w:t>17</w:t>
            </w:r>
          </w:p>
        </w:tc>
        <w:tc>
          <w:tcPr>
            <w:tcW w:w="3119" w:type="dxa"/>
            <w:vAlign w:val="center"/>
          </w:tcPr>
          <w:p>
            <w:pPr>
              <w:jc w:val="center"/>
              <w:rPr>
                <w:rFonts w:eastAsiaTheme="minorEastAsia"/>
                <w:szCs w:val="21"/>
              </w:rPr>
            </w:pPr>
            <w:r>
              <w:rPr>
                <w:rFonts w:eastAsiaTheme="minorEastAsia"/>
                <w:szCs w:val="21"/>
              </w:rPr>
              <w:t>GB/T 4336</w:t>
            </w:r>
            <w:r>
              <w:t>—</w:t>
            </w:r>
            <w:r>
              <w:rPr>
                <w:rFonts w:eastAsiaTheme="minorEastAsia"/>
                <w:szCs w:val="21"/>
              </w:rPr>
              <w:t>201</w:t>
            </w:r>
            <w:r>
              <w:rPr>
                <w:rFonts w:hint="eastAsia" w:eastAsiaTheme="minorEastAsia"/>
                <w:szCs w:val="21"/>
              </w:rPr>
              <w:t>6 或</w:t>
            </w:r>
          </w:p>
          <w:p>
            <w:pPr>
              <w:jc w:val="center"/>
              <w:rPr>
                <w:rFonts w:eastAsiaTheme="minorEastAsia"/>
                <w:szCs w:val="21"/>
              </w:rPr>
            </w:pPr>
            <w:r>
              <w:rPr>
                <w:rFonts w:hint="eastAsia" w:eastAsiaTheme="minorEastAsia"/>
                <w:szCs w:val="21"/>
              </w:rPr>
              <w:t>按相应产品标准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716" w:type="dxa"/>
            <w:vMerge w:val="restart"/>
            <w:vAlign w:val="center"/>
          </w:tcPr>
          <w:p>
            <w:pPr>
              <w:jc w:val="center"/>
              <w:rPr>
                <w:rFonts w:eastAsiaTheme="minorEastAsia"/>
                <w:szCs w:val="21"/>
              </w:rPr>
            </w:pPr>
            <w:r>
              <w:rPr>
                <w:rFonts w:hint="eastAsia" w:eastAsiaTheme="minorEastAsia"/>
                <w:szCs w:val="21"/>
              </w:rPr>
              <w:t>2</w:t>
            </w:r>
          </w:p>
        </w:tc>
        <w:tc>
          <w:tcPr>
            <w:tcW w:w="1458" w:type="dxa"/>
            <w:vMerge w:val="restart"/>
            <w:vAlign w:val="center"/>
          </w:tcPr>
          <w:p>
            <w:pPr>
              <w:jc w:val="center"/>
              <w:rPr>
                <w:rFonts w:eastAsiaTheme="minorEastAsia"/>
                <w:szCs w:val="21"/>
              </w:rPr>
            </w:pPr>
            <w:r>
              <w:rPr>
                <w:rFonts w:eastAsiaTheme="minorEastAsia"/>
                <w:szCs w:val="21"/>
              </w:rPr>
              <w:t>力学性能</w:t>
            </w:r>
          </w:p>
        </w:tc>
        <w:tc>
          <w:tcPr>
            <w:tcW w:w="1818" w:type="dxa"/>
            <w:vAlign w:val="center"/>
          </w:tcPr>
          <w:p>
            <w:pPr>
              <w:jc w:val="center"/>
              <w:rPr>
                <w:rFonts w:eastAsiaTheme="minorEastAsia"/>
                <w:szCs w:val="21"/>
              </w:rPr>
            </w:pPr>
            <w:r>
              <w:rPr>
                <w:rFonts w:hint="eastAsia" w:eastAsiaTheme="minorEastAsia"/>
                <w:szCs w:val="21"/>
              </w:rPr>
              <w:t>拉伸</w:t>
            </w:r>
          </w:p>
        </w:tc>
        <w:tc>
          <w:tcPr>
            <w:tcW w:w="2268" w:type="dxa"/>
            <w:vMerge w:val="restart"/>
            <w:vAlign w:val="center"/>
          </w:tcPr>
          <w:p>
            <w:pPr>
              <w:jc w:val="center"/>
              <w:rPr>
                <w:rFonts w:eastAsiaTheme="minorEastAsia"/>
                <w:szCs w:val="21"/>
              </w:rPr>
            </w:pPr>
            <w:r>
              <w:rPr>
                <w:rFonts w:eastAsiaTheme="minorEastAsia"/>
                <w:szCs w:val="21"/>
              </w:rPr>
              <w:t>GB/T</w:t>
            </w:r>
            <w:r>
              <w:rPr>
                <w:rFonts w:hint="eastAsia" w:eastAsiaTheme="minorEastAsia"/>
                <w:szCs w:val="21"/>
              </w:rPr>
              <w:t xml:space="preserve"> 11263</w:t>
            </w:r>
            <w:r>
              <w:t>—</w:t>
            </w:r>
            <w:r>
              <w:rPr>
                <w:rFonts w:eastAsiaTheme="minorEastAsia"/>
                <w:szCs w:val="21"/>
              </w:rPr>
              <w:t>20</w:t>
            </w:r>
            <w:r>
              <w:rPr>
                <w:rFonts w:hint="eastAsia" w:eastAsiaTheme="minorEastAsia"/>
                <w:szCs w:val="21"/>
              </w:rPr>
              <w:t>17</w:t>
            </w:r>
          </w:p>
        </w:tc>
        <w:tc>
          <w:tcPr>
            <w:tcW w:w="3119" w:type="dxa"/>
            <w:vAlign w:val="center"/>
          </w:tcPr>
          <w:p>
            <w:pPr>
              <w:jc w:val="center"/>
              <w:rPr>
                <w:rFonts w:eastAsiaTheme="minorEastAsia"/>
                <w:szCs w:val="21"/>
              </w:rPr>
            </w:pPr>
            <w:r>
              <w:rPr>
                <w:rFonts w:eastAsiaTheme="minorEastAsia"/>
                <w:szCs w:val="21"/>
              </w:rPr>
              <w:t>GB/T 228.1-2021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16" w:type="dxa"/>
            <w:vMerge w:val="continue"/>
            <w:vAlign w:val="center"/>
          </w:tcPr>
          <w:p>
            <w:pPr>
              <w:jc w:val="center"/>
              <w:rPr>
                <w:rFonts w:eastAsiaTheme="minorEastAsia"/>
                <w:szCs w:val="21"/>
              </w:rPr>
            </w:pPr>
          </w:p>
        </w:tc>
        <w:tc>
          <w:tcPr>
            <w:tcW w:w="1458" w:type="dxa"/>
            <w:vMerge w:val="continue"/>
            <w:vAlign w:val="center"/>
          </w:tcPr>
          <w:p>
            <w:pPr>
              <w:jc w:val="center"/>
              <w:rPr>
                <w:rFonts w:eastAsiaTheme="minorEastAsia"/>
                <w:szCs w:val="21"/>
              </w:rPr>
            </w:pPr>
          </w:p>
        </w:tc>
        <w:tc>
          <w:tcPr>
            <w:tcW w:w="1818" w:type="dxa"/>
            <w:vAlign w:val="center"/>
          </w:tcPr>
          <w:p>
            <w:pPr>
              <w:jc w:val="center"/>
              <w:rPr>
                <w:rFonts w:eastAsiaTheme="minorEastAsia"/>
                <w:szCs w:val="21"/>
              </w:rPr>
            </w:pPr>
            <w:r>
              <w:rPr>
                <w:rFonts w:hint="eastAsia" w:eastAsiaTheme="minorEastAsia"/>
                <w:szCs w:val="21"/>
              </w:rPr>
              <w:t>冲击</w:t>
            </w:r>
          </w:p>
        </w:tc>
        <w:tc>
          <w:tcPr>
            <w:tcW w:w="2268" w:type="dxa"/>
            <w:vMerge w:val="continue"/>
            <w:vAlign w:val="center"/>
          </w:tcPr>
          <w:p>
            <w:pPr>
              <w:jc w:val="center"/>
              <w:rPr>
                <w:rFonts w:eastAsiaTheme="minorEastAsia"/>
                <w:szCs w:val="21"/>
              </w:rPr>
            </w:pPr>
          </w:p>
        </w:tc>
        <w:tc>
          <w:tcPr>
            <w:tcW w:w="3119" w:type="dxa"/>
            <w:vAlign w:val="center"/>
          </w:tcPr>
          <w:p>
            <w:pPr>
              <w:jc w:val="center"/>
              <w:rPr>
                <w:rFonts w:eastAsiaTheme="minorEastAsia"/>
                <w:szCs w:val="21"/>
              </w:rPr>
            </w:pPr>
            <w:r>
              <w:rPr>
                <w:rFonts w:eastAsiaTheme="minorEastAsia"/>
                <w:szCs w:val="21"/>
              </w:rPr>
              <w:t>GB/T</w:t>
            </w:r>
            <w:r>
              <w:rPr>
                <w:rFonts w:hint="eastAsia" w:eastAsiaTheme="minorEastAsia"/>
                <w:szCs w:val="21"/>
              </w:rPr>
              <w:t xml:space="preserve"> </w:t>
            </w:r>
            <w:r>
              <w:rPr>
                <w:rFonts w:eastAsiaTheme="minorEastAsia"/>
                <w:szCs w:val="21"/>
              </w:rPr>
              <w:t>229-2020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16" w:type="dxa"/>
            <w:vAlign w:val="center"/>
          </w:tcPr>
          <w:p>
            <w:pPr>
              <w:jc w:val="center"/>
              <w:rPr>
                <w:rFonts w:eastAsiaTheme="minorEastAsia"/>
                <w:szCs w:val="21"/>
              </w:rPr>
            </w:pPr>
            <w:r>
              <w:rPr>
                <w:rFonts w:hint="eastAsia" w:eastAsiaTheme="minorEastAsia"/>
                <w:szCs w:val="21"/>
              </w:rPr>
              <w:t>3</w:t>
            </w:r>
          </w:p>
        </w:tc>
        <w:tc>
          <w:tcPr>
            <w:tcW w:w="1458" w:type="dxa"/>
            <w:vAlign w:val="center"/>
          </w:tcPr>
          <w:p>
            <w:pPr>
              <w:jc w:val="center"/>
              <w:rPr>
                <w:rFonts w:eastAsiaTheme="minorEastAsia"/>
                <w:szCs w:val="21"/>
              </w:rPr>
            </w:pPr>
            <w:r>
              <w:rPr>
                <w:rFonts w:eastAsiaTheme="minorEastAsia"/>
                <w:szCs w:val="21"/>
              </w:rPr>
              <w:t>工艺性能</w:t>
            </w:r>
          </w:p>
        </w:tc>
        <w:tc>
          <w:tcPr>
            <w:tcW w:w="1818" w:type="dxa"/>
            <w:vAlign w:val="center"/>
          </w:tcPr>
          <w:p>
            <w:pPr>
              <w:jc w:val="center"/>
              <w:rPr>
                <w:rFonts w:eastAsiaTheme="minorEastAsia"/>
                <w:szCs w:val="21"/>
              </w:rPr>
            </w:pPr>
            <w:r>
              <w:rPr>
                <w:rFonts w:eastAsiaTheme="minorEastAsia"/>
                <w:szCs w:val="21"/>
              </w:rPr>
              <w:t>弯曲</w:t>
            </w:r>
          </w:p>
        </w:tc>
        <w:tc>
          <w:tcPr>
            <w:tcW w:w="2268" w:type="dxa"/>
            <w:vAlign w:val="center"/>
          </w:tcPr>
          <w:p>
            <w:pPr>
              <w:jc w:val="center"/>
              <w:rPr>
                <w:rFonts w:eastAsiaTheme="minorEastAsia"/>
                <w:szCs w:val="21"/>
              </w:rPr>
            </w:pPr>
            <w:r>
              <w:rPr>
                <w:rFonts w:eastAsiaTheme="minorEastAsia"/>
                <w:szCs w:val="21"/>
              </w:rPr>
              <w:t>GB/T</w:t>
            </w:r>
            <w:r>
              <w:rPr>
                <w:rFonts w:hint="eastAsia" w:eastAsiaTheme="minorEastAsia"/>
                <w:szCs w:val="21"/>
              </w:rPr>
              <w:t xml:space="preserve"> 11263</w:t>
            </w:r>
            <w:r>
              <w:t>—</w:t>
            </w:r>
            <w:r>
              <w:rPr>
                <w:rFonts w:eastAsiaTheme="minorEastAsia"/>
                <w:szCs w:val="21"/>
              </w:rPr>
              <w:t>20</w:t>
            </w:r>
            <w:r>
              <w:rPr>
                <w:rFonts w:hint="eastAsia" w:eastAsiaTheme="minorEastAsia"/>
                <w:szCs w:val="21"/>
              </w:rPr>
              <w:t>17</w:t>
            </w:r>
          </w:p>
        </w:tc>
        <w:tc>
          <w:tcPr>
            <w:tcW w:w="3119" w:type="dxa"/>
            <w:vAlign w:val="center"/>
          </w:tcPr>
          <w:p>
            <w:pPr>
              <w:jc w:val="center"/>
              <w:rPr>
                <w:rFonts w:eastAsiaTheme="minorEastAsia"/>
                <w:szCs w:val="21"/>
              </w:rPr>
            </w:pPr>
            <w:r>
              <w:rPr>
                <w:rFonts w:eastAsiaTheme="minorEastAsia"/>
                <w:szCs w:val="21"/>
              </w:rPr>
              <w:t>GB/T 232</w:t>
            </w:r>
            <w:r>
              <w:t>—</w:t>
            </w:r>
            <w:r>
              <w:rPr>
                <w:rFonts w:eastAsiaTheme="minorEastAsia"/>
                <w:szCs w:val="21"/>
              </w:rPr>
              <w:t>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716" w:type="dxa"/>
            <w:vAlign w:val="center"/>
          </w:tcPr>
          <w:p>
            <w:pPr>
              <w:jc w:val="center"/>
              <w:rPr>
                <w:rFonts w:eastAsiaTheme="minorEastAsia"/>
                <w:szCs w:val="21"/>
              </w:rPr>
            </w:pPr>
            <w:r>
              <w:rPr>
                <w:rFonts w:hint="eastAsia" w:eastAsiaTheme="minorEastAsia"/>
                <w:szCs w:val="21"/>
              </w:rPr>
              <w:t>4</w:t>
            </w:r>
          </w:p>
        </w:tc>
        <w:tc>
          <w:tcPr>
            <w:tcW w:w="3276" w:type="dxa"/>
            <w:gridSpan w:val="2"/>
            <w:vAlign w:val="center"/>
          </w:tcPr>
          <w:p>
            <w:pPr>
              <w:jc w:val="center"/>
              <w:rPr>
                <w:rFonts w:eastAsiaTheme="minorEastAsia"/>
                <w:szCs w:val="21"/>
              </w:rPr>
            </w:pPr>
            <w:r>
              <w:rPr>
                <w:rFonts w:eastAsiaTheme="minorEastAsia"/>
                <w:szCs w:val="21"/>
              </w:rPr>
              <w:t>尺寸外形</w:t>
            </w:r>
          </w:p>
        </w:tc>
        <w:tc>
          <w:tcPr>
            <w:tcW w:w="2268" w:type="dxa"/>
            <w:vAlign w:val="center"/>
          </w:tcPr>
          <w:p>
            <w:pPr>
              <w:jc w:val="center"/>
              <w:rPr>
                <w:rFonts w:eastAsiaTheme="minorEastAsia"/>
                <w:szCs w:val="21"/>
              </w:rPr>
            </w:pPr>
            <w:r>
              <w:rPr>
                <w:rFonts w:eastAsiaTheme="minorEastAsia"/>
                <w:szCs w:val="21"/>
              </w:rPr>
              <w:t>GB/T</w:t>
            </w:r>
            <w:r>
              <w:rPr>
                <w:rFonts w:hint="eastAsia" w:eastAsiaTheme="minorEastAsia"/>
                <w:szCs w:val="21"/>
              </w:rPr>
              <w:t xml:space="preserve"> 11263</w:t>
            </w:r>
            <w:r>
              <w:t>—</w:t>
            </w:r>
            <w:r>
              <w:rPr>
                <w:rFonts w:eastAsiaTheme="minorEastAsia"/>
                <w:szCs w:val="21"/>
              </w:rPr>
              <w:t>20</w:t>
            </w:r>
            <w:r>
              <w:rPr>
                <w:rFonts w:hint="eastAsia" w:eastAsiaTheme="minorEastAsia"/>
                <w:szCs w:val="21"/>
              </w:rPr>
              <w:t>17</w:t>
            </w:r>
          </w:p>
        </w:tc>
        <w:tc>
          <w:tcPr>
            <w:tcW w:w="3119" w:type="dxa"/>
            <w:vAlign w:val="center"/>
          </w:tcPr>
          <w:p>
            <w:pPr>
              <w:jc w:val="center"/>
              <w:rPr>
                <w:rFonts w:eastAsiaTheme="minorEastAsia"/>
                <w:szCs w:val="21"/>
              </w:rPr>
            </w:pPr>
            <w:r>
              <w:rPr>
                <w:rFonts w:eastAsiaTheme="minorEastAsia"/>
                <w:szCs w:val="21"/>
              </w:rPr>
              <w:t xml:space="preserve">GB/T </w:t>
            </w:r>
            <w:r>
              <w:rPr>
                <w:rFonts w:hint="eastAsia" w:eastAsiaTheme="minorEastAsia"/>
                <w:szCs w:val="21"/>
              </w:rPr>
              <w:t>11263</w:t>
            </w:r>
            <w:r>
              <w:t>—</w:t>
            </w:r>
            <w:r>
              <w:rPr>
                <w:rFonts w:eastAsiaTheme="minorEastAsia"/>
                <w:szCs w:val="21"/>
              </w:rPr>
              <w:t>20</w:t>
            </w:r>
            <w:r>
              <w:rPr>
                <w:rFonts w:hint="eastAsia" w:eastAsiaTheme="minorEastAsia"/>
                <w:szCs w:val="21"/>
              </w:rPr>
              <w:t>17</w:t>
            </w:r>
          </w:p>
        </w:tc>
      </w:tr>
    </w:tbl>
    <w:p>
      <w:pPr>
        <w:keepNext w:val="0"/>
        <w:keepLines w:val="0"/>
        <w:pageBreakBefore w:val="0"/>
        <w:widowControl w:val="0"/>
        <w:kinsoku/>
        <w:wordWrap/>
        <w:overflowPunct/>
        <w:topLinePunct w:val="0"/>
        <w:autoSpaceDE/>
        <w:autoSpaceDN/>
        <w:bidi w:val="0"/>
        <w:adjustRightInd w:val="0"/>
        <w:snapToGrid w:val="0"/>
        <w:spacing w:line="440" w:lineRule="exact"/>
        <w:ind w:firstLine="420" w:firstLineChars="200"/>
        <w:textAlignment w:val="auto"/>
        <w:rPr>
          <w:color w:val="000000"/>
          <w:szCs w:val="21"/>
        </w:rPr>
      </w:pPr>
      <w:r>
        <w:rPr>
          <w:color w:val="000000"/>
          <w:szCs w:val="21"/>
        </w:rPr>
        <w:t>执行企业标准、团体标准、地方标准的产品，检验项目参照上述内容执行。</w:t>
      </w:r>
    </w:p>
    <w:p>
      <w:pPr>
        <w:keepNext w:val="0"/>
        <w:keepLines w:val="0"/>
        <w:pageBreakBefore w:val="0"/>
        <w:widowControl w:val="0"/>
        <w:kinsoku/>
        <w:wordWrap/>
        <w:overflowPunct/>
        <w:topLinePunct w:val="0"/>
        <w:autoSpaceDE/>
        <w:autoSpaceDN/>
        <w:bidi w:val="0"/>
        <w:adjustRightInd w:val="0"/>
        <w:snapToGrid w:val="0"/>
        <w:spacing w:line="440" w:lineRule="exact"/>
        <w:ind w:firstLine="420" w:firstLineChars="200"/>
        <w:textAlignment w:val="auto"/>
        <w:rPr>
          <w:color w:val="000000"/>
          <w:szCs w:val="21"/>
        </w:rPr>
      </w:pPr>
      <w:r>
        <w:rPr>
          <w:color w:val="000000"/>
          <w:szCs w:val="21"/>
        </w:rPr>
        <w:t>凡是注日期的文件，其随后所有的修改单（不包括勘误的内容）或修订版不适用于本细则。凡是不注日期的文件，其最新版本适用于本细则。</w:t>
      </w:r>
    </w:p>
    <w:p>
      <w:pPr>
        <w:snapToGrid w:val="0"/>
        <w:spacing w:line="440" w:lineRule="exact"/>
        <w:ind w:firstLine="359" w:firstLineChars="171"/>
        <w:rPr>
          <w:color w:val="000000"/>
          <w:szCs w:val="21"/>
        </w:rPr>
      </w:pPr>
    </w:p>
    <w:p>
      <w:pPr>
        <w:spacing w:line="440" w:lineRule="exact"/>
        <w:rPr>
          <w:rFonts w:eastAsia="黑体"/>
          <w:color w:val="000000"/>
          <w:szCs w:val="21"/>
        </w:rPr>
      </w:pPr>
      <w:r>
        <w:rPr>
          <w:rFonts w:eastAsia="黑体"/>
          <w:color w:val="000000"/>
          <w:szCs w:val="21"/>
        </w:rPr>
        <w:t>3 判定规则</w:t>
      </w:r>
    </w:p>
    <w:p>
      <w:pPr>
        <w:snapToGrid w:val="0"/>
        <w:spacing w:line="440" w:lineRule="exact"/>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3.1依据标准</w:t>
      </w:r>
    </w:p>
    <w:p>
      <w:pPr>
        <w:snapToGrid w:val="0"/>
        <w:spacing w:line="440" w:lineRule="exact"/>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GB/T 1499.2</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szCs w:val="21"/>
        </w:rPr>
        <w:t xml:space="preserve">2018 </w:t>
      </w:r>
      <w:r>
        <w:rPr>
          <w:rFonts w:hint="eastAsia" w:asciiTheme="minorEastAsia" w:hAnsiTheme="minorEastAsia" w:eastAsiaTheme="minorEastAsia" w:cstheme="minorEastAsia"/>
          <w:color w:val="000000"/>
          <w:szCs w:val="21"/>
        </w:rPr>
        <w:t>钢筋混凝土用钢第2部分：热轧带肋钢筋</w:t>
      </w:r>
    </w:p>
    <w:p>
      <w:pPr>
        <w:snapToGrid w:val="0"/>
        <w:spacing w:line="440" w:lineRule="exact"/>
        <w:ind w:firstLine="420" w:firstLineChars="200"/>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szCs w:val="21"/>
        </w:rPr>
        <w:t>GB/T 1499.1</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szCs w:val="21"/>
        </w:rPr>
        <w:t>2017</w:t>
      </w:r>
      <w:r>
        <w:rPr>
          <w:rFonts w:hint="eastAsia" w:asciiTheme="minorEastAsia" w:hAnsiTheme="minorEastAsia" w:eastAsiaTheme="minorEastAsia" w:cstheme="minorEastAsia"/>
          <w:color w:val="000000"/>
          <w:szCs w:val="21"/>
        </w:rPr>
        <w:t>钢筋混凝土用钢第1部分：热轧光圆钢筋</w:t>
      </w:r>
    </w:p>
    <w:p>
      <w:pPr>
        <w:snapToGrid w:val="0"/>
        <w:spacing w:line="440" w:lineRule="exact"/>
        <w:ind w:firstLine="420" w:firstLineChars="200"/>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szCs w:val="21"/>
        </w:rPr>
        <w:t>GB/T 13788</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szCs w:val="21"/>
        </w:rPr>
        <w:t xml:space="preserve">2017 </w:t>
      </w:r>
      <w:r>
        <w:rPr>
          <w:rFonts w:hint="eastAsia" w:asciiTheme="minorEastAsia" w:hAnsiTheme="minorEastAsia" w:eastAsiaTheme="minorEastAsia" w:cstheme="minorEastAsia"/>
          <w:color w:val="000000"/>
          <w:szCs w:val="21"/>
        </w:rPr>
        <w:t>冷轧带肋钢筋</w:t>
      </w:r>
    </w:p>
    <w:p>
      <w:pPr>
        <w:snapToGrid w:val="0"/>
        <w:spacing w:line="440" w:lineRule="exact"/>
        <w:ind w:firstLine="420" w:firstLineChars="200"/>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szCs w:val="21"/>
        </w:rPr>
        <w:t>GB/T 706</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szCs w:val="21"/>
        </w:rPr>
        <w:t xml:space="preserve">2016 </w:t>
      </w:r>
      <w:r>
        <w:rPr>
          <w:rFonts w:hint="eastAsia" w:asciiTheme="minorEastAsia" w:hAnsiTheme="minorEastAsia" w:eastAsiaTheme="minorEastAsia" w:cstheme="minorEastAsia"/>
          <w:color w:val="000000"/>
          <w:szCs w:val="21"/>
        </w:rPr>
        <w:t>热轧型钢</w:t>
      </w:r>
    </w:p>
    <w:p>
      <w:pPr>
        <w:snapToGrid w:val="0"/>
        <w:spacing w:line="440" w:lineRule="exact"/>
        <w:ind w:firstLine="420" w:firstLineChars="200"/>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szCs w:val="21"/>
        </w:rPr>
        <w:t>GB/T 11263</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szCs w:val="21"/>
        </w:rPr>
        <w:t xml:space="preserve">2017 </w:t>
      </w:r>
      <w:r>
        <w:rPr>
          <w:rFonts w:hint="eastAsia" w:asciiTheme="minorEastAsia" w:hAnsiTheme="minorEastAsia" w:eastAsiaTheme="minorEastAsia" w:cstheme="minorEastAsia"/>
          <w:color w:val="000000"/>
          <w:szCs w:val="21"/>
        </w:rPr>
        <w:t>热轧H型钢和部分T型钢</w:t>
      </w:r>
    </w:p>
    <w:p>
      <w:pPr>
        <w:snapToGrid w:val="0"/>
        <w:spacing w:line="440" w:lineRule="exact"/>
        <w:ind w:firstLine="420" w:firstLineChars="200"/>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现行有效的企业标准、团体标准、地方标准及产品明示质量要求</w:t>
      </w:r>
    </w:p>
    <w:p>
      <w:pPr>
        <w:snapToGrid w:val="0"/>
        <w:spacing w:line="440" w:lineRule="exact"/>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3.2判定原则</w:t>
      </w:r>
    </w:p>
    <w:p>
      <w:pPr>
        <w:snapToGrid w:val="0"/>
        <w:spacing w:line="440" w:lineRule="exact"/>
        <w:ind w:firstLine="420" w:firstLineChars="200"/>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经检验，检验项目全部合格，判定为被抽查产品所检项目未发现不合格；检验项目中任一项或一项以上不合格，判定为被抽查产品不合格。</w:t>
      </w:r>
    </w:p>
    <w:p>
      <w:pPr>
        <w:snapToGrid w:val="0"/>
        <w:spacing w:line="440" w:lineRule="exact"/>
        <w:ind w:firstLine="417" w:firstLineChars="199"/>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若被检产品明示的质量要求高于本细则中检验项目依据的标准要求时，应按被检产品明示的质量要求判定。</w:t>
      </w:r>
    </w:p>
    <w:p>
      <w:pPr>
        <w:snapToGrid w:val="0"/>
        <w:spacing w:line="440" w:lineRule="exact"/>
        <w:ind w:firstLine="417" w:firstLineChars="199"/>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若被检产品明示的质量要求低于本细则中检验项目依据的强制性标准要求时，应按照强制性标准要求判定。</w:t>
      </w:r>
    </w:p>
    <w:p>
      <w:pPr>
        <w:snapToGrid w:val="0"/>
        <w:spacing w:line="440" w:lineRule="exact"/>
        <w:ind w:firstLine="417" w:firstLineChars="199"/>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若被检产品明示的质量要求低于或包含本细则中检验项目依据的推荐性标准要求时，应以被检产品明示的质量要求判定。</w:t>
      </w:r>
    </w:p>
    <w:p>
      <w:pPr>
        <w:snapToGrid w:val="0"/>
        <w:spacing w:line="440" w:lineRule="exact"/>
        <w:ind w:firstLine="417" w:firstLineChars="199"/>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若被检产品明示的质量要求缺少本细则中检验项目依据的强制性标准要求时，应按照强制性标准要求判定。</w:t>
      </w:r>
    </w:p>
    <w:p>
      <w:pPr>
        <w:snapToGrid w:val="0"/>
        <w:spacing w:line="440" w:lineRule="exact"/>
        <w:ind w:firstLine="417" w:firstLineChars="199"/>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若被检产品明示的质量要求缺少本细则中检验项目依据的推荐性标准要求时，该项目不参与判定。</w:t>
      </w:r>
    </w:p>
    <w:p>
      <w:pPr>
        <w:snapToGrid w:val="0"/>
        <w:spacing w:line="440" w:lineRule="exact"/>
        <w:ind w:firstLine="417" w:firstLineChars="199"/>
        <w:rPr>
          <w:color w:val="000000"/>
          <w:szCs w:val="21"/>
        </w:rPr>
      </w:pPr>
    </w:p>
    <w:p>
      <w:pPr>
        <w:spacing w:line="440" w:lineRule="exact"/>
        <w:ind w:firstLine="420" w:firstLineChars="200"/>
        <w:rPr>
          <w:color w:val="FF0000"/>
          <w:szCs w:val="21"/>
        </w:rPr>
      </w:pPr>
    </w:p>
    <w:p>
      <w:pPr>
        <w:spacing w:line="440" w:lineRule="exact"/>
        <w:rPr>
          <w:color w:val="000000"/>
          <w:szCs w:val="21"/>
        </w:rPr>
      </w:pPr>
    </w:p>
    <w:sectPr>
      <w:headerReference r:id="rId3" w:type="default"/>
      <w:footerReference r:id="rId4" w:type="default"/>
      <w:footerReference r:id="rId5" w:type="even"/>
      <w:pgSz w:w="11906" w:h="16838"/>
      <w:pgMar w:top="1985" w:right="1474" w:bottom="1644"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仿宋简体">
    <w:altName w:val="宋体"/>
    <w:panose1 w:val="02010601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2</w:t>
    </w:r>
    <w:r>
      <w:fldChar w:fldCharType="end"/>
    </w:r>
  </w:p>
  <w:p>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UzMGUwZjQzNmU5NGU3YzMwMmYxYWYyNzllYWRiZWQifQ=="/>
  </w:docVars>
  <w:rsids>
    <w:rsidRoot w:val="00172A27"/>
    <w:rsid w:val="00027BF3"/>
    <w:rsid w:val="00051A44"/>
    <w:rsid w:val="00081CBD"/>
    <w:rsid w:val="000976DE"/>
    <w:rsid w:val="000E33F4"/>
    <w:rsid w:val="000E64EC"/>
    <w:rsid w:val="00123D1C"/>
    <w:rsid w:val="00172A27"/>
    <w:rsid w:val="001809DD"/>
    <w:rsid w:val="002107F5"/>
    <w:rsid w:val="002248FC"/>
    <w:rsid w:val="00232530"/>
    <w:rsid w:val="002420BA"/>
    <w:rsid w:val="00247E6D"/>
    <w:rsid w:val="00253624"/>
    <w:rsid w:val="00257D6A"/>
    <w:rsid w:val="002A4E85"/>
    <w:rsid w:val="002D7F8A"/>
    <w:rsid w:val="002E0D1D"/>
    <w:rsid w:val="002E3CBD"/>
    <w:rsid w:val="002F6643"/>
    <w:rsid w:val="0031196D"/>
    <w:rsid w:val="00314EA5"/>
    <w:rsid w:val="003203A3"/>
    <w:rsid w:val="00365CBE"/>
    <w:rsid w:val="003A7D30"/>
    <w:rsid w:val="003C388C"/>
    <w:rsid w:val="003D09A1"/>
    <w:rsid w:val="003E61BF"/>
    <w:rsid w:val="004104AC"/>
    <w:rsid w:val="00445E86"/>
    <w:rsid w:val="0045434D"/>
    <w:rsid w:val="00474E04"/>
    <w:rsid w:val="004D0C5A"/>
    <w:rsid w:val="004D184C"/>
    <w:rsid w:val="004E1396"/>
    <w:rsid w:val="004E6C21"/>
    <w:rsid w:val="00563EBC"/>
    <w:rsid w:val="005864F2"/>
    <w:rsid w:val="0059130E"/>
    <w:rsid w:val="005C747C"/>
    <w:rsid w:val="00623D68"/>
    <w:rsid w:val="006E1171"/>
    <w:rsid w:val="006F0971"/>
    <w:rsid w:val="00706A62"/>
    <w:rsid w:val="0072334C"/>
    <w:rsid w:val="007666FC"/>
    <w:rsid w:val="0077429B"/>
    <w:rsid w:val="007A4D3E"/>
    <w:rsid w:val="007B0410"/>
    <w:rsid w:val="007D2B3E"/>
    <w:rsid w:val="008278D9"/>
    <w:rsid w:val="00895BEA"/>
    <w:rsid w:val="008A3497"/>
    <w:rsid w:val="00917A54"/>
    <w:rsid w:val="009967A4"/>
    <w:rsid w:val="009B1924"/>
    <w:rsid w:val="00A05840"/>
    <w:rsid w:val="00A078D5"/>
    <w:rsid w:val="00A23D98"/>
    <w:rsid w:val="00A43553"/>
    <w:rsid w:val="00AB0E18"/>
    <w:rsid w:val="00AC3C7E"/>
    <w:rsid w:val="00AC5391"/>
    <w:rsid w:val="00B23814"/>
    <w:rsid w:val="00B47D56"/>
    <w:rsid w:val="00B65F23"/>
    <w:rsid w:val="00BF2B8C"/>
    <w:rsid w:val="00C26074"/>
    <w:rsid w:val="00C316B1"/>
    <w:rsid w:val="00C60327"/>
    <w:rsid w:val="00C83B0A"/>
    <w:rsid w:val="00CA747C"/>
    <w:rsid w:val="00CB336B"/>
    <w:rsid w:val="00CC2FAC"/>
    <w:rsid w:val="00CE1E0C"/>
    <w:rsid w:val="00CE277E"/>
    <w:rsid w:val="00D46665"/>
    <w:rsid w:val="00D56867"/>
    <w:rsid w:val="00D93CCA"/>
    <w:rsid w:val="00DA1EE9"/>
    <w:rsid w:val="00E02A7F"/>
    <w:rsid w:val="00E07880"/>
    <w:rsid w:val="00E533E6"/>
    <w:rsid w:val="00E82621"/>
    <w:rsid w:val="00F236B9"/>
    <w:rsid w:val="00F31452"/>
    <w:rsid w:val="00F77C9A"/>
    <w:rsid w:val="00F83756"/>
    <w:rsid w:val="00FB576C"/>
    <w:rsid w:val="00FC39E8"/>
    <w:rsid w:val="00FD2AA6"/>
    <w:rsid w:val="00FE7E8A"/>
    <w:rsid w:val="00FF2A37"/>
    <w:rsid w:val="1A597193"/>
    <w:rsid w:val="20971CA1"/>
    <w:rsid w:val="21F50B43"/>
    <w:rsid w:val="277A0467"/>
    <w:rsid w:val="49557320"/>
    <w:rsid w:val="4FC76963"/>
    <w:rsid w:val="510076F1"/>
    <w:rsid w:val="5A222AAF"/>
    <w:rsid w:val="69AF76EF"/>
    <w:rsid w:val="76F2232D"/>
    <w:rsid w:val="7A1D0398"/>
    <w:rsid w:val="7F6A198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1"/>
    <w:unhideWhenUsed/>
    <w:qFormat/>
    <w:uiPriority w:val="99"/>
    <w:pPr>
      <w:jc w:val="left"/>
    </w:pPr>
  </w:style>
  <w:style w:type="paragraph" w:styleId="3">
    <w:name w:val="Balloon Text"/>
    <w:basedOn w:val="1"/>
    <w:link w:val="12"/>
    <w:unhideWhenUsed/>
    <w:qFormat/>
    <w:uiPriority w:val="99"/>
    <w:rPr>
      <w:sz w:val="18"/>
      <w:szCs w:val="18"/>
    </w:rPr>
  </w:style>
  <w:style w:type="paragraph" w:styleId="4">
    <w:name w:val="footer"/>
    <w:basedOn w:val="1"/>
    <w:link w:val="13"/>
    <w:autoRedefine/>
    <w:unhideWhenUsed/>
    <w:qFormat/>
    <w:uiPriority w:val="99"/>
    <w:pPr>
      <w:tabs>
        <w:tab w:val="center" w:pos="4153"/>
        <w:tab w:val="right" w:pos="8306"/>
      </w:tabs>
      <w:snapToGrid w:val="0"/>
      <w:jc w:val="left"/>
    </w:pPr>
    <w:rPr>
      <w:sz w:val="18"/>
      <w:szCs w:val="18"/>
    </w:rPr>
  </w:style>
  <w:style w:type="paragraph" w:styleId="5">
    <w:name w:val="header"/>
    <w:basedOn w:val="1"/>
    <w:link w:val="14"/>
    <w:autoRedefine/>
    <w:unhideWhenUsed/>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5"/>
    <w:autoRedefine/>
    <w:unhideWhenUsed/>
    <w:qFormat/>
    <w:uiPriority w:val="99"/>
    <w:rPr>
      <w:b/>
      <w:bCs/>
    </w:rPr>
  </w:style>
  <w:style w:type="character" w:styleId="9">
    <w:name w:val="page number"/>
    <w:autoRedefine/>
    <w:qFormat/>
    <w:uiPriority w:val="0"/>
  </w:style>
  <w:style w:type="character" w:styleId="10">
    <w:name w:val="annotation reference"/>
    <w:autoRedefine/>
    <w:unhideWhenUsed/>
    <w:qFormat/>
    <w:uiPriority w:val="99"/>
    <w:rPr>
      <w:sz w:val="21"/>
      <w:szCs w:val="21"/>
    </w:rPr>
  </w:style>
  <w:style w:type="character" w:customStyle="1" w:styleId="11">
    <w:name w:val="批注文字 字符"/>
    <w:link w:val="2"/>
    <w:autoRedefine/>
    <w:semiHidden/>
    <w:qFormat/>
    <w:uiPriority w:val="99"/>
    <w:rPr>
      <w:kern w:val="2"/>
      <w:sz w:val="21"/>
      <w:szCs w:val="24"/>
    </w:rPr>
  </w:style>
  <w:style w:type="character" w:customStyle="1" w:styleId="12">
    <w:name w:val="批注框文本 字符"/>
    <w:link w:val="3"/>
    <w:autoRedefine/>
    <w:semiHidden/>
    <w:qFormat/>
    <w:uiPriority w:val="99"/>
    <w:rPr>
      <w:kern w:val="2"/>
      <w:sz w:val="18"/>
      <w:szCs w:val="18"/>
    </w:rPr>
  </w:style>
  <w:style w:type="character" w:customStyle="1" w:styleId="13">
    <w:name w:val="页脚 字符"/>
    <w:link w:val="4"/>
    <w:autoRedefine/>
    <w:qFormat/>
    <w:uiPriority w:val="99"/>
    <w:rPr>
      <w:kern w:val="2"/>
      <w:sz w:val="18"/>
      <w:szCs w:val="18"/>
    </w:rPr>
  </w:style>
  <w:style w:type="character" w:customStyle="1" w:styleId="14">
    <w:name w:val="页眉 字符"/>
    <w:link w:val="5"/>
    <w:autoRedefine/>
    <w:semiHidden/>
    <w:qFormat/>
    <w:uiPriority w:val="99"/>
    <w:rPr>
      <w:kern w:val="2"/>
      <w:sz w:val="18"/>
      <w:szCs w:val="18"/>
    </w:rPr>
  </w:style>
  <w:style w:type="character" w:customStyle="1" w:styleId="15">
    <w:name w:val="批注主题 字符"/>
    <w:link w:val="6"/>
    <w:semiHidden/>
    <w:qFormat/>
    <w:uiPriority w:val="99"/>
    <w:rPr>
      <w:b/>
      <w:bCs/>
      <w:kern w:val="2"/>
      <w:sz w:val="21"/>
      <w:szCs w:val="24"/>
    </w:rPr>
  </w:style>
  <w:style w:type="paragraph" w:customStyle="1" w:styleId="16">
    <w:name w:val="列出段落1"/>
    <w:basedOn w:val="1"/>
    <w:qFormat/>
    <w:uiPriority w:val="34"/>
    <w:pPr>
      <w:ind w:firstLine="420" w:firstLineChars="200"/>
    </w:pPr>
    <w:rPr>
      <w:rFonts w:ascii="Calibri" w:hAnsi="Calibri"/>
      <w:szCs w:val="22"/>
    </w:rPr>
  </w:style>
  <w:style w:type="paragraph" w:customStyle="1" w:styleId="17">
    <w:name w:val="修订1"/>
    <w:hidde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Legend (Beijing) Limited</Company>
  <Pages>5</Pages>
  <Words>2218</Words>
  <Characters>3422</Characters>
  <Lines>9</Lines>
  <Paragraphs>2</Paragraphs>
  <TotalTime>6</TotalTime>
  <ScaleCrop>false</ScaleCrop>
  <LinksUpToDate>false</LinksUpToDate>
  <CharactersWithSpaces>3524</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2024-03-16T15:09:00Z</dcterms:created>
  <dc:creator>Legend User</dc:creator>
  <cp:lastModifiedBy>冷峻</cp:lastModifiedBy>
  <cp:lastPrinted>2019-12-05T07:53:00Z</cp:lastPrinted>
  <dcterms:modified xsi:type="dcterms:W3CDTF">2024-05-10T09:14:05Z</dcterms:modified>
  <dc:title>××产品质量监督抽查实施细则</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commondata">
    <vt:lpwstr>eyJoZGlkIjoiNDRmZDlmMjdkNDI1NjEzMmI2Y2M4ZTAxODQ5YmJlMTYifQ==</vt:lpwstr>
  </property>
  <property fmtid="{D5CDD505-2E9C-101B-9397-08002B2CF9AE}" pid="4" name="ICV">
    <vt:lpwstr>C1D7CFECA719482EB12B6B450ECC3A5E_13</vt:lpwstr>
  </property>
</Properties>
</file>