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辽宁省天然气</w:t>
      </w:r>
      <w:r>
        <w:rPr>
          <w:rFonts w:eastAsia="方正小标宋简体" w:cs="方正仿宋简体"/>
          <w:sz w:val="32"/>
          <w:szCs w:val="32"/>
        </w:rPr>
        <w:t>产品质量监督抽查实施细则</w:t>
      </w:r>
    </w:p>
    <w:p>
      <w:pPr>
        <w:snapToGrid w:val="0"/>
        <w:spacing w:line="360" w:lineRule="auto"/>
        <w:jc w:val="center"/>
        <w:rPr>
          <w:rFonts w:eastAsia="方正小标宋简体"/>
          <w:sz w:val="32"/>
          <w:szCs w:val="32"/>
        </w:rPr>
      </w:pPr>
    </w:p>
    <w:p>
      <w:pPr>
        <w:snapToGrid w:val="0"/>
        <w:spacing w:line="440" w:lineRule="exact"/>
        <w:rPr>
          <w:rFonts w:eastAsia="黑体"/>
          <w:szCs w:val="21"/>
        </w:rPr>
      </w:pPr>
      <w:r>
        <w:rPr>
          <w:rFonts w:eastAsia="黑体"/>
          <w:szCs w:val="21"/>
        </w:rPr>
        <w:t>1 抽样方法</w:t>
      </w:r>
    </w:p>
    <w:p>
      <w:pPr>
        <w:spacing w:line="440" w:lineRule="exact"/>
        <w:ind w:firstLine="420" w:firstLineChars="200"/>
        <w:rPr>
          <w:szCs w:val="21"/>
        </w:rPr>
      </w:pPr>
      <w:r>
        <w:rPr>
          <w:szCs w:val="21"/>
        </w:rPr>
        <w:t>以随机抽样的方式在被抽样生产者、销售者的待销产品中抽取。</w:t>
      </w:r>
    </w:p>
    <w:p>
      <w:pPr>
        <w:spacing w:line="440" w:lineRule="exact"/>
        <w:ind w:firstLine="420" w:firstLineChars="200"/>
        <w:rPr>
          <w:szCs w:val="21"/>
        </w:rPr>
      </w:pPr>
      <w:r>
        <w:rPr>
          <w:szCs w:val="21"/>
        </w:rPr>
        <w:t>随机数一般可使用随机数表等方法产生。</w:t>
      </w:r>
    </w:p>
    <w:p>
      <w:pPr>
        <w:spacing w:line="440" w:lineRule="exact"/>
        <w:ind w:firstLine="420" w:firstLineChars="200"/>
        <w:rPr>
          <w:szCs w:val="21"/>
        </w:rPr>
      </w:pPr>
      <w:r>
        <w:rPr>
          <w:rFonts w:hint="eastAsia"/>
          <w:szCs w:val="21"/>
        </w:rPr>
        <w:t>每批次产品抽取样品天然气不少于2L（＞1.0MPa）、车用压缩天然气不少于2L（＞8.0MPa），其中1/2作为检验样品，1/2作为备用样品。</w:t>
      </w:r>
    </w:p>
    <w:p>
      <w:pPr>
        <w:snapToGrid w:val="0"/>
        <w:spacing w:line="440" w:lineRule="exact"/>
        <w:rPr>
          <w:szCs w:val="21"/>
        </w:rPr>
      </w:pPr>
    </w:p>
    <w:p>
      <w:pPr>
        <w:snapToGrid w:val="0"/>
        <w:spacing w:line="440" w:lineRule="exact"/>
        <w:rPr>
          <w:rFonts w:eastAsia="黑体"/>
          <w:szCs w:val="21"/>
        </w:rPr>
      </w:pPr>
      <w:r>
        <w:rPr>
          <w:rFonts w:eastAsia="黑体"/>
          <w:szCs w:val="21"/>
        </w:rPr>
        <w:t xml:space="preserve">2 </w:t>
      </w:r>
      <w:bookmarkStart w:id="0" w:name="_GoBack"/>
      <w:r>
        <w:rPr>
          <w:rFonts w:eastAsia="黑体"/>
          <w:szCs w:val="21"/>
        </w:rPr>
        <w:t>检验依据</w:t>
      </w:r>
      <w:bookmarkEnd w:id="0"/>
    </w:p>
    <w:p>
      <w:pPr>
        <w:snapToGrid w:val="0"/>
        <w:spacing w:line="440" w:lineRule="exact"/>
        <w:jc w:val="center"/>
        <w:rPr>
          <w:rFonts w:ascii="宋体" w:hAnsi="宋体" w:cs="宋体"/>
          <w:szCs w:val="21"/>
        </w:rPr>
      </w:pPr>
      <w:r>
        <w:rPr>
          <w:rFonts w:hint="eastAsia" w:ascii="宋体" w:hAnsi="宋体" w:cs="宋体"/>
          <w:szCs w:val="21"/>
        </w:rPr>
        <w:t>表1  天然气</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721"/>
        <w:gridCol w:w="247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50" w:type="dxa"/>
            <w:vAlign w:val="center"/>
          </w:tcPr>
          <w:p>
            <w:pPr>
              <w:jc w:val="center"/>
              <w:rPr>
                <w:szCs w:val="21"/>
              </w:rPr>
            </w:pPr>
            <w:r>
              <w:rPr>
                <w:szCs w:val="21"/>
              </w:rPr>
              <w:t>序号</w:t>
            </w:r>
          </w:p>
        </w:tc>
        <w:tc>
          <w:tcPr>
            <w:tcW w:w="2721" w:type="dxa"/>
            <w:vAlign w:val="center"/>
          </w:tcPr>
          <w:p>
            <w:pPr>
              <w:jc w:val="center"/>
              <w:rPr>
                <w:szCs w:val="21"/>
              </w:rPr>
            </w:pPr>
            <w:r>
              <w:rPr>
                <w:szCs w:val="21"/>
              </w:rPr>
              <w:t>检验项目</w:t>
            </w:r>
          </w:p>
        </w:tc>
        <w:tc>
          <w:tcPr>
            <w:tcW w:w="2475" w:type="dxa"/>
            <w:vAlign w:val="center"/>
          </w:tcPr>
          <w:p>
            <w:pPr>
              <w:jc w:val="center"/>
              <w:rPr>
                <w:szCs w:val="21"/>
              </w:rPr>
            </w:pPr>
            <w:r>
              <w:rPr>
                <w:rFonts w:hint="eastAsia"/>
                <w:szCs w:val="21"/>
              </w:rPr>
              <w:t>检验依据</w:t>
            </w:r>
          </w:p>
        </w:tc>
        <w:tc>
          <w:tcPr>
            <w:tcW w:w="2835"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50" w:type="dxa"/>
            <w:vAlign w:val="center"/>
          </w:tcPr>
          <w:p>
            <w:pPr>
              <w:jc w:val="center"/>
              <w:rPr>
                <w:rFonts w:eastAsia="仿宋_GB2312"/>
                <w:szCs w:val="21"/>
              </w:rPr>
            </w:pPr>
            <w:r>
              <w:rPr>
                <w:rFonts w:eastAsia="仿宋_GB2312"/>
                <w:szCs w:val="21"/>
              </w:rPr>
              <w:t>1</w:t>
            </w:r>
          </w:p>
        </w:tc>
        <w:tc>
          <w:tcPr>
            <w:tcW w:w="2721" w:type="dxa"/>
            <w:vAlign w:val="center"/>
          </w:tcPr>
          <w:p>
            <w:pPr>
              <w:jc w:val="center"/>
              <w:rPr>
                <w:szCs w:val="21"/>
              </w:rPr>
            </w:pPr>
            <w:r>
              <w:rPr>
                <w:rFonts w:hint="eastAsia"/>
                <w:szCs w:val="21"/>
              </w:rPr>
              <w:t>高位发热量</w:t>
            </w:r>
          </w:p>
        </w:tc>
        <w:tc>
          <w:tcPr>
            <w:tcW w:w="2475" w:type="dxa"/>
            <w:vAlign w:val="center"/>
          </w:tcPr>
          <w:p>
            <w:pPr>
              <w:jc w:val="center"/>
              <w:rPr>
                <w:szCs w:val="21"/>
              </w:rPr>
            </w:pPr>
            <w:r>
              <w:rPr>
                <w:szCs w:val="21"/>
              </w:rPr>
              <w:t>GB 17820-2018</w:t>
            </w:r>
          </w:p>
        </w:tc>
        <w:tc>
          <w:tcPr>
            <w:tcW w:w="2835" w:type="dxa"/>
            <w:vAlign w:val="center"/>
          </w:tcPr>
          <w:p>
            <w:pPr>
              <w:jc w:val="center"/>
              <w:rPr>
                <w:szCs w:val="21"/>
              </w:rPr>
            </w:pPr>
            <w:r>
              <w:rPr>
                <w:szCs w:val="21"/>
              </w:rPr>
              <w:t>GB/T 11062-2020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 w:type="dxa"/>
            <w:vAlign w:val="center"/>
          </w:tcPr>
          <w:p>
            <w:pPr>
              <w:jc w:val="center"/>
              <w:rPr>
                <w:rFonts w:eastAsia="仿宋_GB2312"/>
                <w:szCs w:val="21"/>
              </w:rPr>
            </w:pPr>
            <w:r>
              <w:rPr>
                <w:rFonts w:eastAsia="仿宋_GB2312"/>
                <w:szCs w:val="21"/>
              </w:rPr>
              <w:t>2</w:t>
            </w:r>
          </w:p>
        </w:tc>
        <w:tc>
          <w:tcPr>
            <w:tcW w:w="2721" w:type="dxa"/>
            <w:vAlign w:val="center"/>
          </w:tcPr>
          <w:p>
            <w:pPr>
              <w:jc w:val="center"/>
              <w:rPr>
                <w:szCs w:val="21"/>
              </w:rPr>
            </w:pPr>
            <w:r>
              <w:rPr>
                <w:rFonts w:hint="eastAsia"/>
                <w:szCs w:val="21"/>
              </w:rPr>
              <w:t>总硫（以硫计）</w:t>
            </w:r>
          </w:p>
        </w:tc>
        <w:tc>
          <w:tcPr>
            <w:tcW w:w="2475" w:type="dxa"/>
            <w:vAlign w:val="center"/>
          </w:tcPr>
          <w:p>
            <w:pPr>
              <w:jc w:val="center"/>
              <w:rPr>
                <w:szCs w:val="21"/>
              </w:rPr>
            </w:pPr>
            <w:r>
              <w:rPr>
                <w:szCs w:val="21"/>
              </w:rPr>
              <w:t>GB 17820-2018</w:t>
            </w:r>
          </w:p>
        </w:tc>
        <w:tc>
          <w:tcPr>
            <w:tcW w:w="2835" w:type="dxa"/>
            <w:vAlign w:val="center"/>
          </w:tcPr>
          <w:p>
            <w:pPr>
              <w:jc w:val="center"/>
              <w:rPr>
                <w:szCs w:val="21"/>
              </w:rPr>
            </w:pPr>
            <w:r>
              <w:rPr>
                <w:szCs w:val="21"/>
              </w:rPr>
              <w:t>GB/T 11060.8-2020</w:t>
            </w:r>
            <w:r>
              <w:rPr>
                <w:rFonts w:hint="eastAsia"/>
                <w:szCs w:val="21"/>
              </w:rPr>
              <w:t>或</w:t>
            </w:r>
            <w:r>
              <w:rPr>
                <w:szCs w:val="21"/>
              </w:rPr>
              <w:t>GB/T 11060.4-2017</w:t>
            </w:r>
            <w:r>
              <w:rPr>
                <w:rFonts w:hint="eastAsia"/>
                <w:szCs w:val="21"/>
              </w:rPr>
              <w:t>或</w:t>
            </w:r>
            <w:r>
              <w:rPr>
                <w:szCs w:val="21"/>
              </w:rPr>
              <w:t>GB/T 11060.5-2010</w:t>
            </w:r>
            <w:r>
              <w:rPr>
                <w:rFonts w:hint="eastAsia"/>
                <w:szCs w:val="21"/>
              </w:rPr>
              <w:t>或</w:t>
            </w:r>
            <w:r>
              <w:rPr>
                <w:szCs w:val="21"/>
              </w:rPr>
              <w:t>GB/T 11060.10-2021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 w:type="dxa"/>
            <w:vAlign w:val="center"/>
          </w:tcPr>
          <w:p>
            <w:pPr>
              <w:jc w:val="center"/>
              <w:rPr>
                <w:rFonts w:eastAsia="仿宋_GB2312"/>
                <w:szCs w:val="21"/>
              </w:rPr>
            </w:pPr>
            <w:r>
              <w:rPr>
                <w:rFonts w:eastAsia="仿宋_GB2312"/>
                <w:szCs w:val="21"/>
              </w:rPr>
              <w:t>3</w:t>
            </w:r>
          </w:p>
        </w:tc>
        <w:tc>
          <w:tcPr>
            <w:tcW w:w="2721" w:type="dxa"/>
            <w:vAlign w:val="center"/>
          </w:tcPr>
          <w:p>
            <w:pPr>
              <w:jc w:val="center"/>
              <w:rPr>
                <w:szCs w:val="21"/>
              </w:rPr>
            </w:pPr>
            <w:r>
              <w:rPr>
                <w:rFonts w:hint="eastAsia"/>
                <w:szCs w:val="21"/>
              </w:rPr>
              <w:t>二氧化碳摩尔分数</w:t>
            </w:r>
          </w:p>
        </w:tc>
        <w:tc>
          <w:tcPr>
            <w:tcW w:w="2475" w:type="dxa"/>
            <w:vAlign w:val="center"/>
          </w:tcPr>
          <w:p>
            <w:pPr>
              <w:jc w:val="center"/>
              <w:rPr>
                <w:szCs w:val="21"/>
              </w:rPr>
            </w:pPr>
            <w:r>
              <w:rPr>
                <w:szCs w:val="21"/>
              </w:rPr>
              <w:t>GB 17820-2018</w:t>
            </w:r>
          </w:p>
        </w:tc>
        <w:tc>
          <w:tcPr>
            <w:tcW w:w="2835" w:type="dxa"/>
            <w:vAlign w:val="center"/>
          </w:tcPr>
          <w:p>
            <w:pPr>
              <w:jc w:val="center"/>
              <w:rPr>
                <w:szCs w:val="21"/>
              </w:rPr>
            </w:pPr>
            <w:r>
              <w:rPr>
                <w:szCs w:val="21"/>
              </w:rPr>
              <w:t>GB/T 13610-2020</w:t>
            </w:r>
            <w:r>
              <w:rPr>
                <w:rFonts w:hint="eastAsia"/>
                <w:szCs w:val="21"/>
              </w:rPr>
              <w:t>或</w:t>
            </w:r>
            <w:r>
              <w:rPr>
                <w:szCs w:val="21"/>
              </w:rPr>
              <w:t>GB/T 27894.4-2012</w:t>
            </w:r>
            <w:r>
              <w:rPr>
                <w:rFonts w:hint="eastAsia"/>
                <w:szCs w:val="21"/>
              </w:rPr>
              <w:t>或</w:t>
            </w:r>
            <w:r>
              <w:rPr>
                <w:szCs w:val="21"/>
              </w:rPr>
              <w:t>GB/T 27894.5-2012</w:t>
            </w:r>
            <w:r>
              <w:rPr>
                <w:rFonts w:hint="eastAsia"/>
                <w:szCs w:val="21"/>
              </w:rPr>
              <w:t>或</w:t>
            </w:r>
            <w:r>
              <w:rPr>
                <w:szCs w:val="21"/>
              </w:rPr>
              <w:t>GB/T 27894.6-2012</w:t>
            </w:r>
          </w:p>
        </w:tc>
      </w:tr>
    </w:tbl>
    <w:p>
      <w:pPr>
        <w:snapToGrid w:val="0"/>
        <w:spacing w:line="440" w:lineRule="exact"/>
        <w:jc w:val="center"/>
        <w:rPr>
          <w:rFonts w:eastAsia="黑体"/>
          <w:szCs w:val="21"/>
        </w:rPr>
      </w:pPr>
      <w:r>
        <w:rPr>
          <w:rFonts w:hint="eastAsia" w:ascii="宋体" w:hAnsi="宋体" w:cs="宋体"/>
          <w:szCs w:val="21"/>
        </w:rPr>
        <w:t>表2  车用压缩天然气</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721"/>
        <w:gridCol w:w="247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pPr>
              <w:jc w:val="center"/>
              <w:rPr>
                <w:szCs w:val="21"/>
              </w:rPr>
            </w:pPr>
            <w:r>
              <w:rPr>
                <w:szCs w:val="21"/>
              </w:rPr>
              <w:t>序号</w:t>
            </w:r>
          </w:p>
        </w:tc>
        <w:tc>
          <w:tcPr>
            <w:tcW w:w="2721" w:type="dxa"/>
            <w:vAlign w:val="center"/>
          </w:tcPr>
          <w:p>
            <w:pPr>
              <w:jc w:val="center"/>
              <w:rPr>
                <w:szCs w:val="21"/>
              </w:rPr>
            </w:pPr>
            <w:r>
              <w:rPr>
                <w:szCs w:val="21"/>
              </w:rPr>
              <w:t>检验项目</w:t>
            </w:r>
          </w:p>
        </w:tc>
        <w:tc>
          <w:tcPr>
            <w:tcW w:w="2475" w:type="dxa"/>
            <w:vAlign w:val="center"/>
          </w:tcPr>
          <w:p>
            <w:pPr>
              <w:jc w:val="center"/>
              <w:rPr>
                <w:szCs w:val="21"/>
              </w:rPr>
            </w:pPr>
            <w:r>
              <w:rPr>
                <w:rFonts w:hint="eastAsia"/>
                <w:szCs w:val="21"/>
              </w:rPr>
              <w:t>检验依据</w:t>
            </w:r>
          </w:p>
        </w:tc>
        <w:tc>
          <w:tcPr>
            <w:tcW w:w="2835"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pPr>
              <w:jc w:val="center"/>
              <w:rPr>
                <w:rFonts w:eastAsia="仿宋_GB2312"/>
                <w:szCs w:val="21"/>
              </w:rPr>
            </w:pPr>
            <w:r>
              <w:rPr>
                <w:rFonts w:eastAsia="仿宋_GB2312"/>
                <w:szCs w:val="21"/>
              </w:rPr>
              <w:t>1</w:t>
            </w:r>
          </w:p>
        </w:tc>
        <w:tc>
          <w:tcPr>
            <w:tcW w:w="2721" w:type="dxa"/>
            <w:vAlign w:val="center"/>
          </w:tcPr>
          <w:p>
            <w:pPr>
              <w:jc w:val="center"/>
              <w:rPr>
                <w:szCs w:val="21"/>
              </w:rPr>
            </w:pPr>
            <w:r>
              <w:rPr>
                <w:rFonts w:hint="eastAsia"/>
                <w:szCs w:val="21"/>
              </w:rPr>
              <w:t>高位发热量</w:t>
            </w:r>
          </w:p>
        </w:tc>
        <w:tc>
          <w:tcPr>
            <w:tcW w:w="2475" w:type="dxa"/>
            <w:vAlign w:val="center"/>
          </w:tcPr>
          <w:p>
            <w:pPr>
              <w:jc w:val="center"/>
              <w:rPr>
                <w:szCs w:val="21"/>
              </w:rPr>
            </w:pPr>
            <w:r>
              <w:rPr>
                <w:szCs w:val="21"/>
              </w:rPr>
              <w:t>GB 18047-2017</w:t>
            </w:r>
          </w:p>
        </w:tc>
        <w:tc>
          <w:tcPr>
            <w:tcW w:w="2835" w:type="dxa"/>
            <w:vAlign w:val="center"/>
          </w:tcPr>
          <w:p>
            <w:pPr>
              <w:jc w:val="center"/>
              <w:rPr>
                <w:szCs w:val="21"/>
              </w:rPr>
            </w:pPr>
            <w:r>
              <w:rPr>
                <w:szCs w:val="21"/>
              </w:rPr>
              <w:t>GB/T 11062-2020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w:t>
            </w:r>
          </w:p>
        </w:tc>
        <w:tc>
          <w:tcPr>
            <w:tcW w:w="2721" w:type="dxa"/>
            <w:vAlign w:val="center"/>
          </w:tcPr>
          <w:p>
            <w:pPr>
              <w:jc w:val="center"/>
              <w:rPr>
                <w:szCs w:val="21"/>
              </w:rPr>
            </w:pPr>
            <w:r>
              <w:rPr>
                <w:rFonts w:hint="eastAsia"/>
                <w:szCs w:val="21"/>
              </w:rPr>
              <w:t>总硫（以硫计）</w:t>
            </w:r>
          </w:p>
        </w:tc>
        <w:tc>
          <w:tcPr>
            <w:tcW w:w="2475" w:type="dxa"/>
            <w:vAlign w:val="center"/>
          </w:tcPr>
          <w:p>
            <w:pPr>
              <w:jc w:val="center"/>
              <w:rPr>
                <w:szCs w:val="21"/>
              </w:rPr>
            </w:pPr>
            <w:r>
              <w:rPr>
                <w:szCs w:val="21"/>
              </w:rPr>
              <w:t>GB 18047-2017</w:t>
            </w:r>
          </w:p>
        </w:tc>
        <w:tc>
          <w:tcPr>
            <w:tcW w:w="2835" w:type="dxa"/>
            <w:vAlign w:val="center"/>
          </w:tcPr>
          <w:p>
            <w:pPr>
              <w:jc w:val="center"/>
              <w:rPr>
                <w:szCs w:val="21"/>
              </w:rPr>
            </w:pPr>
            <w:r>
              <w:rPr>
                <w:szCs w:val="21"/>
              </w:rPr>
              <w:t>GB/T 11060.4-2017</w:t>
            </w:r>
            <w:r>
              <w:rPr>
                <w:rFonts w:hint="eastAsia"/>
                <w:szCs w:val="21"/>
              </w:rPr>
              <w:t>或</w:t>
            </w:r>
            <w:r>
              <w:rPr>
                <w:szCs w:val="21"/>
              </w:rPr>
              <w:t>GB/T 11060.5-2010</w:t>
            </w:r>
            <w:r>
              <w:rPr>
                <w:rFonts w:hint="eastAsia"/>
                <w:szCs w:val="21"/>
              </w:rPr>
              <w:t>或</w:t>
            </w:r>
            <w:r>
              <w:rPr>
                <w:szCs w:val="21"/>
              </w:rPr>
              <w:t>GB/T 11060.8-2020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3</w:t>
            </w:r>
          </w:p>
        </w:tc>
        <w:tc>
          <w:tcPr>
            <w:tcW w:w="2721" w:type="dxa"/>
            <w:vAlign w:val="center"/>
          </w:tcPr>
          <w:p>
            <w:pPr>
              <w:jc w:val="center"/>
              <w:rPr>
                <w:szCs w:val="21"/>
              </w:rPr>
            </w:pPr>
            <w:r>
              <w:rPr>
                <w:rFonts w:hint="eastAsia"/>
                <w:szCs w:val="21"/>
              </w:rPr>
              <w:t>二氧化碳摩尔分数</w:t>
            </w:r>
          </w:p>
        </w:tc>
        <w:tc>
          <w:tcPr>
            <w:tcW w:w="2475" w:type="dxa"/>
            <w:vAlign w:val="center"/>
          </w:tcPr>
          <w:p>
            <w:pPr>
              <w:jc w:val="center"/>
              <w:rPr>
                <w:szCs w:val="21"/>
              </w:rPr>
            </w:pPr>
            <w:r>
              <w:rPr>
                <w:szCs w:val="21"/>
              </w:rPr>
              <w:t>GB 18047-2017</w:t>
            </w:r>
          </w:p>
        </w:tc>
        <w:tc>
          <w:tcPr>
            <w:tcW w:w="2835" w:type="dxa"/>
            <w:vAlign w:val="center"/>
          </w:tcPr>
          <w:p>
            <w:pPr>
              <w:jc w:val="center"/>
              <w:rPr>
                <w:szCs w:val="21"/>
              </w:rPr>
            </w:pPr>
            <w:r>
              <w:rPr>
                <w:szCs w:val="21"/>
              </w:rPr>
              <w:t>GB/T 13610-2020</w:t>
            </w:r>
            <w:r>
              <w:rPr>
                <w:rFonts w:hint="eastAsia"/>
                <w:szCs w:val="21"/>
              </w:rPr>
              <w:t>或</w:t>
            </w:r>
            <w:r>
              <w:rPr>
                <w:szCs w:val="21"/>
              </w:rPr>
              <w:t>GB/T 27894.4-2012</w:t>
            </w:r>
            <w:r>
              <w:rPr>
                <w:rFonts w:hint="eastAsia"/>
                <w:szCs w:val="21"/>
              </w:rPr>
              <w:t>或</w:t>
            </w:r>
            <w:r>
              <w:rPr>
                <w:szCs w:val="21"/>
              </w:rPr>
              <w:t>GB/T 27894.5-2012</w:t>
            </w:r>
            <w:r>
              <w:rPr>
                <w:rFonts w:hint="eastAsia"/>
                <w:szCs w:val="21"/>
              </w:rPr>
              <w:t>或</w:t>
            </w:r>
            <w:r>
              <w:rPr>
                <w:szCs w:val="21"/>
              </w:rPr>
              <w:t>GB/T 27894.6-2012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4</w:t>
            </w:r>
          </w:p>
        </w:tc>
        <w:tc>
          <w:tcPr>
            <w:tcW w:w="2721" w:type="dxa"/>
            <w:vAlign w:val="center"/>
          </w:tcPr>
          <w:p>
            <w:pPr>
              <w:jc w:val="center"/>
              <w:rPr>
                <w:szCs w:val="21"/>
              </w:rPr>
            </w:pPr>
            <w:r>
              <w:rPr>
                <w:rFonts w:hint="eastAsia"/>
                <w:szCs w:val="21"/>
              </w:rPr>
              <w:t>氧气摩尔分数</w:t>
            </w:r>
          </w:p>
        </w:tc>
        <w:tc>
          <w:tcPr>
            <w:tcW w:w="2475" w:type="dxa"/>
            <w:vAlign w:val="center"/>
          </w:tcPr>
          <w:p>
            <w:pPr>
              <w:jc w:val="center"/>
              <w:rPr>
                <w:szCs w:val="21"/>
              </w:rPr>
            </w:pPr>
            <w:r>
              <w:rPr>
                <w:szCs w:val="21"/>
              </w:rPr>
              <w:t>GB 18047-2017</w:t>
            </w:r>
          </w:p>
        </w:tc>
        <w:tc>
          <w:tcPr>
            <w:tcW w:w="2835" w:type="dxa"/>
            <w:vAlign w:val="center"/>
          </w:tcPr>
          <w:p>
            <w:pPr>
              <w:jc w:val="center"/>
              <w:rPr>
                <w:szCs w:val="21"/>
              </w:rPr>
            </w:pPr>
            <w:r>
              <w:rPr>
                <w:szCs w:val="21"/>
              </w:rPr>
              <w:t>GB/T 13610-2020</w:t>
            </w:r>
            <w:r>
              <w:rPr>
                <w:rFonts w:hint="eastAsia"/>
                <w:szCs w:val="21"/>
              </w:rPr>
              <w:t>或</w:t>
            </w:r>
            <w:r>
              <w:rPr>
                <w:szCs w:val="21"/>
              </w:rPr>
              <w:t>GB/T 27894.4-2012</w:t>
            </w:r>
            <w:r>
              <w:rPr>
                <w:rFonts w:hint="eastAsia"/>
                <w:szCs w:val="21"/>
              </w:rPr>
              <w:t>或</w:t>
            </w:r>
            <w:r>
              <w:rPr>
                <w:szCs w:val="21"/>
              </w:rPr>
              <w:t>GB/T 27894.5-2012</w:t>
            </w:r>
            <w:r>
              <w:rPr>
                <w:rFonts w:hint="eastAsia"/>
                <w:szCs w:val="21"/>
              </w:rPr>
              <w:t>或</w:t>
            </w:r>
            <w:r>
              <w:rPr>
                <w:szCs w:val="21"/>
              </w:rPr>
              <w:t>GB/T 27894.6-2012</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 xml:space="preserve">GB 17820-2018 </w:t>
      </w:r>
      <w:r>
        <w:rPr>
          <w:rFonts w:hint="eastAsia"/>
          <w:szCs w:val="21"/>
        </w:rPr>
        <w:t xml:space="preserve">   天然气</w:t>
      </w:r>
    </w:p>
    <w:p>
      <w:pPr>
        <w:snapToGrid w:val="0"/>
        <w:spacing w:line="440" w:lineRule="exact"/>
        <w:ind w:firstLine="420" w:firstLineChars="200"/>
        <w:rPr>
          <w:b/>
          <w:bCs/>
          <w:szCs w:val="21"/>
        </w:rPr>
      </w:pPr>
      <w:r>
        <w:rPr>
          <w:szCs w:val="21"/>
        </w:rPr>
        <w:t>GB 18047-2017</w:t>
      </w:r>
      <w:r>
        <w:rPr>
          <w:rFonts w:hint="eastAsia"/>
          <w:szCs w:val="21"/>
        </w:rPr>
        <w:t xml:space="preserve">    车用压缩天然气</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napToGrid w:val="0"/>
        <w:spacing w:line="440" w:lineRule="exact"/>
        <w:ind w:firstLine="417" w:firstLineChars="199"/>
        <w:rPr>
          <w:szCs w:val="21"/>
        </w:rPr>
      </w:pPr>
    </w:p>
    <w:sectPr>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宋体"/>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0ZWI1ZmQ0NjIyZWMzNzEwOGFhYzFiOTRmODM0NTQifQ=="/>
  </w:docVars>
  <w:rsids>
    <w:rsidRoot w:val="002F3A86"/>
    <w:rsid w:val="00015D2A"/>
    <w:rsid w:val="00043E20"/>
    <w:rsid w:val="0008002D"/>
    <w:rsid w:val="00153015"/>
    <w:rsid w:val="00177DF9"/>
    <w:rsid w:val="001C719F"/>
    <w:rsid w:val="002004E7"/>
    <w:rsid w:val="002316BF"/>
    <w:rsid w:val="002747EF"/>
    <w:rsid w:val="0029162A"/>
    <w:rsid w:val="002F3A86"/>
    <w:rsid w:val="00345456"/>
    <w:rsid w:val="00354BE8"/>
    <w:rsid w:val="00381DCA"/>
    <w:rsid w:val="003B2EB2"/>
    <w:rsid w:val="003F4DA7"/>
    <w:rsid w:val="004A3131"/>
    <w:rsid w:val="004A34C9"/>
    <w:rsid w:val="005105E8"/>
    <w:rsid w:val="005752F6"/>
    <w:rsid w:val="005E35C1"/>
    <w:rsid w:val="00610A40"/>
    <w:rsid w:val="00640D08"/>
    <w:rsid w:val="007321FA"/>
    <w:rsid w:val="00775A62"/>
    <w:rsid w:val="00896024"/>
    <w:rsid w:val="009410B7"/>
    <w:rsid w:val="0098534A"/>
    <w:rsid w:val="00A55105"/>
    <w:rsid w:val="00B44460"/>
    <w:rsid w:val="00C120B7"/>
    <w:rsid w:val="00C542BE"/>
    <w:rsid w:val="00C6459B"/>
    <w:rsid w:val="00D632A3"/>
    <w:rsid w:val="00E1419B"/>
    <w:rsid w:val="00EE16F0"/>
    <w:rsid w:val="450D17A5"/>
    <w:rsid w:val="4E2E7409"/>
    <w:rsid w:val="58173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autoRedefine/>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1"/>
    <w:autoRedefine/>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2"/>
    <w:autoRedefine/>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3"/>
    <w:autoRedefine/>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4"/>
    <w:autoRedefine/>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5"/>
    <w:autoRedefine/>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6">
    <w:name w:val="Default Paragraph Font"/>
    <w:autoRedefine/>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5"/>
    <w:autoRedefine/>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Subtitle"/>
    <w:basedOn w:val="1"/>
    <w:next w:val="1"/>
    <w:link w:val="2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autoRedefine/>
    <w:semiHidden/>
    <w:qFormat/>
    <w:uiPriority w:val="9"/>
    <w:rPr>
      <w:rFonts w:cstheme="majorBidi"/>
      <w:color w:val="104862" w:themeColor="accent1" w:themeShade="BF"/>
      <w:sz w:val="28"/>
      <w:szCs w:val="28"/>
    </w:rPr>
  </w:style>
  <w:style w:type="character" w:customStyle="1" w:styleId="21">
    <w:name w:val="标题 5 字符"/>
    <w:basedOn w:val="16"/>
    <w:link w:val="6"/>
    <w:autoRedefine/>
    <w:semiHidden/>
    <w:qFormat/>
    <w:uiPriority w:val="9"/>
    <w:rPr>
      <w:rFonts w:cstheme="majorBidi"/>
      <w:color w:val="104862" w:themeColor="accent1" w:themeShade="BF"/>
      <w:sz w:val="24"/>
      <w:szCs w:val="24"/>
    </w:rPr>
  </w:style>
  <w:style w:type="character" w:customStyle="1" w:styleId="22">
    <w:name w:val="标题 6 字符"/>
    <w:basedOn w:val="16"/>
    <w:link w:val="7"/>
    <w:autoRedefine/>
    <w:semiHidden/>
    <w:qFormat/>
    <w:uiPriority w:val="9"/>
    <w:rPr>
      <w:rFonts w:cstheme="majorBidi"/>
      <w:b/>
      <w:bCs/>
      <w:color w:val="104862" w:themeColor="accent1" w:themeShade="BF"/>
    </w:rPr>
  </w:style>
  <w:style w:type="character" w:customStyle="1" w:styleId="23">
    <w:name w:val="标题 7 字符"/>
    <w:basedOn w:val="16"/>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autoRedefine/>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autoRedefine/>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29">
    <w:name w:val="引用 字符"/>
    <w:basedOn w:val="16"/>
    <w:link w:val="28"/>
    <w:autoRedefine/>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autoRedefine/>
    <w:qFormat/>
    <w:uiPriority w:val="34"/>
    <w:pPr>
      <w:ind w:left="720"/>
      <w:contextualSpacing/>
    </w:pPr>
    <w:rPr>
      <w:rFonts w:asciiTheme="minorHAnsi" w:hAnsiTheme="minorHAnsi" w:eastAsiaTheme="minorEastAsia" w:cstheme="minorBidi"/>
      <w:szCs w:val="22"/>
    </w:rPr>
  </w:style>
  <w:style w:type="character" w:customStyle="1" w:styleId="31">
    <w:name w:val="明显强调1"/>
    <w:basedOn w:val="16"/>
    <w:autoRedefine/>
    <w:qFormat/>
    <w:uiPriority w:val="21"/>
    <w:rPr>
      <w:i/>
      <w:iCs/>
      <w:color w:val="104862" w:themeColor="accent1" w:themeShade="BF"/>
    </w:rPr>
  </w:style>
  <w:style w:type="paragraph" w:styleId="32">
    <w:name w:val="Intense Quote"/>
    <w:basedOn w:val="1"/>
    <w:next w:val="1"/>
    <w:link w:val="3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3">
    <w:name w:val="明显引用 字符"/>
    <w:basedOn w:val="16"/>
    <w:link w:val="32"/>
    <w:autoRedefine/>
    <w:qFormat/>
    <w:uiPriority w:val="30"/>
    <w:rPr>
      <w:i/>
      <w:iCs/>
      <w:color w:val="104862" w:themeColor="accent1" w:themeShade="BF"/>
    </w:rPr>
  </w:style>
  <w:style w:type="character" w:customStyle="1" w:styleId="34">
    <w:name w:val="明显参考1"/>
    <w:basedOn w:val="16"/>
    <w:autoRedefine/>
    <w:qFormat/>
    <w:uiPriority w:val="32"/>
    <w:rPr>
      <w:b/>
      <w:bCs/>
      <w:smallCaps/>
      <w:color w:val="104862" w:themeColor="accent1" w:themeShade="BF"/>
      <w:spacing w:val="5"/>
    </w:rPr>
  </w:style>
  <w:style w:type="character" w:customStyle="1" w:styleId="35">
    <w:name w:val="页眉 字符"/>
    <w:basedOn w:val="16"/>
    <w:link w:val="12"/>
    <w:autoRedefine/>
    <w:qFormat/>
    <w:uiPriority w:val="99"/>
    <w:rPr>
      <w:sz w:val="18"/>
      <w:szCs w:val="18"/>
    </w:rPr>
  </w:style>
  <w:style w:type="character" w:customStyle="1" w:styleId="36">
    <w:name w:val="页脚 字符"/>
    <w:basedOn w:val="16"/>
    <w:link w:val="11"/>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187</Words>
  <Characters>1069</Characters>
  <Lines>8</Lines>
  <Paragraphs>2</Paragraphs>
  <TotalTime>1</TotalTime>
  <ScaleCrop>false</ScaleCrop>
  <LinksUpToDate>false</LinksUpToDate>
  <CharactersWithSpaces>1254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2024-04-24T11:22:00Z</dcterms:created>
  <dc:creator>斌 张</dc:creator>
  <cp:lastModifiedBy>冷峻</cp:lastModifiedBy>
  <dcterms:modified xsi:type="dcterms:W3CDTF">2024-05-12T10:50:45Z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61FB92FC62DE44CFB90361EB3ECD5DE9_12</vt:lpwstr>
  </property>
</Properties>
</file>