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辽宁省可燃气体探测器</w:t>
      </w:r>
      <w:r>
        <w:rPr>
          <w:rFonts w:eastAsia="方正小标宋简体" w:cs="方正仿宋简体"/>
          <w:sz w:val="32"/>
          <w:szCs w:val="32"/>
        </w:rPr>
        <w:t>产品质量监督抽查实施细则</w:t>
      </w:r>
    </w:p>
    <w:p>
      <w:pPr>
        <w:snapToGrid w:val="0"/>
        <w:spacing w:line="360" w:lineRule="auto"/>
        <w:rPr>
          <w:rFonts w:eastAsia="方正小标宋简体"/>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w:t>
      </w:r>
      <w:r>
        <w:rPr>
          <w:rFonts w:hint="eastAsia"/>
          <w:szCs w:val="21"/>
        </w:rPr>
        <w:t>、随机数骰子</w:t>
      </w:r>
      <w:r>
        <w:rPr>
          <w:szCs w:val="21"/>
        </w:rPr>
        <w:t>等方法产生。</w:t>
      </w:r>
    </w:p>
    <w:p>
      <w:pPr>
        <w:snapToGrid w:val="0"/>
        <w:spacing w:line="440" w:lineRule="exact"/>
        <w:ind w:firstLine="420" w:firstLineChars="200"/>
        <w:rPr>
          <w:szCs w:val="21"/>
        </w:rPr>
      </w:pPr>
      <w:r>
        <w:rPr>
          <w:rFonts w:hint="default" w:ascii="Times New Roman" w:hAnsi="Times New Roman" w:cs="Times New Roman"/>
          <w:szCs w:val="21"/>
        </w:rPr>
        <w:t>每批次产品抽取样品6台，其中3台作为检验样品，3台作为备用样品。</w:t>
      </w:r>
    </w:p>
    <w:p>
      <w:pPr>
        <w:snapToGrid w:val="0"/>
        <w:spacing w:line="440" w:lineRule="exact"/>
        <w:rPr>
          <w:rFonts w:eastAsia="黑体"/>
          <w:szCs w:val="21"/>
        </w:rPr>
      </w:pPr>
      <w:r>
        <w:rPr>
          <w:rFonts w:eastAsia="黑体"/>
          <w:szCs w:val="21"/>
        </w:rPr>
        <w:t>2 检验依据</w:t>
      </w:r>
      <w:r>
        <w:rPr>
          <w:rFonts w:hint="eastAsia" w:eastAsia="黑体"/>
          <w:szCs w:val="21"/>
        </w:rPr>
        <w:t xml:space="preserve"> </w:t>
      </w:r>
    </w:p>
    <w:p>
      <w:pPr>
        <w:snapToGrid w:val="0"/>
        <w:spacing w:line="440" w:lineRule="exact"/>
        <w:jc w:val="center"/>
        <w:rPr>
          <w:rFonts w:eastAsia="黑体"/>
          <w:szCs w:val="21"/>
        </w:rPr>
      </w:pPr>
      <w:r>
        <w:rPr>
          <w:rFonts w:hint="default" w:ascii="Times New Roman" w:hAnsi="Times New Roman" w:cs="Times New Roman"/>
          <w:color w:val="000000"/>
          <w:szCs w:val="21"/>
        </w:rPr>
        <w:t xml:space="preserve">表1  </w:t>
      </w:r>
      <w:r>
        <w:rPr>
          <w:rFonts w:hint="eastAsia" w:ascii="宋体" w:hAnsi="宋体" w:cs="仿宋"/>
          <w:color w:val="000000"/>
          <w:szCs w:val="21"/>
        </w:rPr>
        <w:t>工业及商业用途点型可燃气体探测器</w:t>
      </w:r>
    </w:p>
    <w:tbl>
      <w:tblPr>
        <w:tblStyle w:val="8"/>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555"/>
        <w:gridCol w:w="2515"/>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序号</w:t>
            </w:r>
          </w:p>
        </w:tc>
        <w:tc>
          <w:tcPr>
            <w:tcW w:w="355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 验 项 目</w:t>
            </w:r>
          </w:p>
        </w:tc>
        <w:tc>
          <w:tcPr>
            <w:tcW w:w="251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2306"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报警动作值</w:t>
            </w:r>
          </w:p>
        </w:tc>
        <w:tc>
          <w:tcPr>
            <w:tcW w:w="251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2</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量程指示偏差</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3</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响应时间</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4</w:t>
            </w:r>
          </w:p>
        </w:tc>
        <w:tc>
          <w:tcPr>
            <w:tcW w:w="3555" w:type="dxa"/>
            <w:noWrap/>
            <w:vAlign w:val="center"/>
          </w:tcPr>
          <w:p>
            <w:pPr>
              <w:widowControl/>
              <w:spacing w:line="360" w:lineRule="auto"/>
              <w:jc w:val="center"/>
              <w:textAlignment w:val="top"/>
              <w:rPr>
                <w:rFonts w:hint="default" w:ascii="Times New Roman" w:hAnsi="Times New Roman" w:cs="Times New Roman"/>
                <w:kern w:val="0"/>
                <w:szCs w:val="21"/>
              </w:rPr>
            </w:pPr>
            <w:r>
              <w:rPr>
                <w:rFonts w:hint="default" w:ascii="Times New Roman" w:hAnsi="Times New Roman" w:cs="Times New Roman"/>
                <w:kern w:val="0"/>
                <w:szCs w:val="21"/>
              </w:rPr>
              <w:t>报警重复性</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5</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电压波动</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6</w:t>
            </w:r>
          </w:p>
        </w:tc>
        <w:tc>
          <w:tcPr>
            <w:tcW w:w="3555" w:type="dxa"/>
            <w:noWrap/>
            <w:vAlign w:val="center"/>
          </w:tcPr>
          <w:p>
            <w:pPr>
              <w:widowControl/>
              <w:spacing w:line="360" w:lineRule="auto"/>
              <w:jc w:val="center"/>
              <w:textAlignment w:val="top"/>
              <w:rPr>
                <w:rFonts w:hint="default" w:ascii="Times New Roman" w:hAnsi="Times New Roman" w:cs="Times New Roman"/>
                <w:kern w:val="0"/>
                <w:szCs w:val="21"/>
              </w:rPr>
            </w:pPr>
            <w:r>
              <w:rPr>
                <w:rFonts w:hint="default" w:ascii="Times New Roman" w:hAnsi="Times New Roman" w:cs="Times New Roman"/>
                <w:kern w:val="0"/>
                <w:szCs w:val="21"/>
              </w:rPr>
              <w:t>绝缘电阻</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7</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电气强度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8</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静电放电抗扰度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9</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射频电磁场辐射抗扰度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10</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电快速瞬变脉冲群抗扰度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11</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浪涌（冲击）抗扰度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12</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射频场感应的传导骚扰抗扰度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13</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高温（运行）</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14</w:t>
            </w:r>
          </w:p>
        </w:tc>
        <w:tc>
          <w:tcPr>
            <w:tcW w:w="3555" w:type="dxa"/>
            <w:noWrap/>
            <w:vAlign w:val="center"/>
          </w:tcPr>
          <w:p>
            <w:pPr>
              <w:spacing w:line="360" w:lineRule="auto"/>
              <w:jc w:val="center"/>
              <w:textAlignment w:val="top"/>
              <w:rPr>
                <w:rFonts w:hint="default" w:ascii="Times New Roman" w:hAnsi="Times New Roman" w:cs="Times New Roman"/>
                <w:kern w:val="0"/>
                <w:szCs w:val="21"/>
              </w:rPr>
            </w:pPr>
            <w:r>
              <w:rPr>
                <w:rFonts w:hint="default" w:ascii="Times New Roman" w:hAnsi="Times New Roman" w:cs="Times New Roman"/>
                <w:kern w:val="0"/>
                <w:szCs w:val="21"/>
              </w:rPr>
              <w:t>低温（运行）</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spacing w:line="360" w:lineRule="auto"/>
              <w:jc w:val="center"/>
              <w:textAlignment w:val="top"/>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15</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恒定湿热（运行）</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color w:val="000000"/>
                <w:kern w:val="0"/>
                <w:szCs w:val="21"/>
              </w:rPr>
              <w:t>GB 15322.1-2019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96" w:type="dxa"/>
            <w:gridSpan w:val="4"/>
            <w:noWrap/>
            <w:vAlign w:val="center"/>
          </w:tcPr>
          <w:p>
            <w:pPr>
              <w:spacing w:line="360" w:lineRule="auto"/>
              <w:jc w:val="both"/>
              <w:rPr>
                <w:rFonts w:hint="default" w:ascii="Times New Roman" w:hAnsi="Times New Roman" w:cs="Times New Roman"/>
                <w:szCs w:val="21"/>
              </w:rPr>
            </w:pPr>
            <w:bookmarkStart w:id="0" w:name="_GoBack"/>
            <w:bookmarkEnd w:id="0"/>
            <w:r>
              <w:rPr>
                <w:rFonts w:hint="default" w:ascii="Times New Roman" w:hAnsi="Times New Roman" w:cs="Times New Roman"/>
                <w:bCs/>
                <w:szCs w:val="21"/>
              </w:rPr>
              <w:t>注：检验项目以实际样品适用项为准。</w:t>
            </w:r>
          </w:p>
        </w:tc>
      </w:tr>
    </w:tbl>
    <w:p>
      <w:pPr>
        <w:widowControl/>
        <w:spacing w:line="360" w:lineRule="auto"/>
        <w:jc w:val="center"/>
        <w:rPr>
          <w:rFonts w:ascii="宋体" w:hAnsi="宋体" w:cs="仿宋"/>
          <w:color w:val="000000"/>
          <w:szCs w:val="21"/>
        </w:rPr>
      </w:pPr>
    </w:p>
    <w:p>
      <w:pPr>
        <w:widowControl/>
        <w:spacing w:line="360" w:lineRule="auto"/>
        <w:jc w:val="center"/>
        <w:rPr>
          <w:rFonts w:ascii="宋体" w:hAnsi="宋体" w:cs="仿宋"/>
          <w:color w:val="000000"/>
          <w:szCs w:val="21"/>
        </w:rPr>
      </w:pPr>
      <w:r>
        <w:rPr>
          <w:rFonts w:hint="default" w:ascii="Times New Roman" w:hAnsi="Times New Roman" w:cs="Times New Roman"/>
          <w:color w:val="000000"/>
          <w:szCs w:val="21"/>
        </w:rPr>
        <w:t xml:space="preserve">表2  </w:t>
      </w:r>
      <w:r>
        <w:rPr>
          <w:rFonts w:hint="eastAsia" w:ascii="宋体" w:hAnsi="宋体" w:cs="仿宋"/>
          <w:color w:val="000000"/>
          <w:szCs w:val="21"/>
        </w:rPr>
        <w:t>家用可燃气体探测器</w:t>
      </w:r>
    </w:p>
    <w:tbl>
      <w:tblPr>
        <w:tblStyle w:val="8"/>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555"/>
        <w:gridCol w:w="2515"/>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序号</w:t>
            </w:r>
          </w:p>
        </w:tc>
        <w:tc>
          <w:tcPr>
            <w:tcW w:w="355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 验 项 目</w:t>
            </w:r>
          </w:p>
        </w:tc>
        <w:tc>
          <w:tcPr>
            <w:tcW w:w="251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2306"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w:t>
            </w:r>
          </w:p>
        </w:tc>
        <w:tc>
          <w:tcPr>
            <w:tcW w:w="355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kern w:val="0"/>
                <w:szCs w:val="21"/>
              </w:rPr>
              <w:t>报警动作值</w:t>
            </w:r>
          </w:p>
        </w:tc>
        <w:tc>
          <w:tcPr>
            <w:tcW w:w="2515"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2</w:t>
            </w:r>
          </w:p>
        </w:tc>
        <w:tc>
          <w:tcPr>
            <w:tcW w:w="3555" w:type="dxa"/>
            <w:noWrap/>
            <w:vAlign w:val="center"/>
          </w:tcPr>
          <w:p>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rPr>
              <w:t>量程指示偏差（适用于具有浓度显示功能的试样）</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3</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响应时间</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4</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报警重复性</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5</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预热期间报警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6</w:t>
            </w:r>
          </w:p>
        </w:tc>
        <w:tc>
          <w:tcPr>
            <w:tcW w:w="3555" w:type="dxa"/>
            <w:noWrap/>
            <w:vAlign w:val="center"/>
          </w:tcPr>
          <w:p>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rPr>
              <w:t>电压波动（不适用于仅以电池供电的试样）</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7</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绝缘电阻</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8</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电气强度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9</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静电放电抗扰度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10</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射频电磁场辐射抗扰度</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11</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电快速瞬变脉冲群抗扰度（不适用于仅以电池供电的试样）</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12</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浪涌（冲击）抗扰度（不适用于仅以电池供电的试样）</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13</w:t>
            </w:r>
          </w:p>
        </w:tc>
        <w:tc>
          <w:tcPr>
            <w:tcW w:w="3555"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射频场感应的传导骚扰抗扰度（不适用于仅以电池供电的试样）</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14</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高温（运行）</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15</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低温（运行）</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16</w:t>
            </w:r>
          </w:p>
        </w:tc>
        <w:tc>
          <w:tcPr>
            <w:tcW w:w="3555"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kern w:val="0"/>
                <w:szCs w:val="21"/>
              </w:rPr>
              <w:t>恒定湿热（运行）</w:t>
            </w:r>
          </w:p>
        </w:tc>
        <w:tc>
          <w:tcPr>
            <w:tcW w:w="2515"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15322.2-2019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szCs w:val="21"/>
              </w:rPr>
              <w:t>GB 15322.2-2019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96" w:type="dxa"/>
            <w:gridSpan w:val="4"/>
            <w:noWrap/>
            <w:vAlign w:val="center"/>
          </w:tcPr>
          <w:p>
            <w:pPr>
              <w:spacing w:line="360" w:lineRule="auto"/>
              <w:jc w:val="both"/>
              <w:rPr>
                <w:rFonts w:hint="default" w:ascii="Times New Roman" w:hAnsi="Times New Roman" w:cs="Times New Roman"/>
                <w:szCs w:val="21"/>
              </w:rPr>
            </w:pPr>
            <w:r>
              <w:rPr>
                <w:rFonts w:hint="default" w:ascii="Times New Roman" w:hAnsi="Times New Roman" w:cs="Times New Roman"/>
                <w:bCs/>
                <w:szCs w:val="21"/>
              </w:rPr>
              <w:t>注：检验项目以实际样品适用项为准。</w:t>
            </w:r>
          </w:p>
        </w:tc>
      </w:tr>
    </w:tbl>
    <w:p>
      <w:pPr>
        <w:widowControl/>
        <w:spacing w:line="360" w:lineRule="auto"/>
        <w:jc w:val="center"/>
        <w:rPr>
          <w:rFonts w:ascii="宋体" w:hAnsi="宋体" w:cs="仿宋"/>
          <w:color w:val="000000"/>
          <w:szCs w:val="21"/>
        </w:rPr>
      </w:pPr>
    </w:p>
    <w:p>
      <w:pPr>
        <w:widowControl/>
        <w:jc w:val="left"/>
        <w:rPr>
          <w:rFonts w:ascii="宋体" w:hAnsi="宋体" w:cs="仿宋"/>
          <w:color w:val="000000"/>
          <w:szCs w:val="21"/>
        </w:rPr>
      </w:pPr>
      <w:r>
        <w:rPr>
          <w:rFonts w:ascii="宋体" w:hAnsi="宋体" w:cs="仿宋"/>
          <w:color w:val="000000"/>
          <w:szCs w:val="21"/>
        </w:rPr>
        <w:br w:type="page"/>
      </w:r>
    </w:p>
    <w:p>
      <w:pPr>
        <w:widowControl/>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表3  工业及商业用途便携式可燃气体探测器</w:t>
      </w:r>
    </w:p>
    <w:tbl>
      <w:tblPr>
        <w:tblStyle w:val="8"/>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516"/>
        <w:gridCol w:w="2554"/>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序号</w:t>
            </w:r>
          </w:p>
        </w:tc>
        <w:tc>
          <w:tcPr>
            <w:tcW w:w="3516"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 验 项 目</w:t>
            </w:r>
          </w:p>
        </w:tc>
        <w:tc>
          <w:tcPr>
            <w:tcW w:w="2554"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2306"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w:t>
            </w:r>
          </w:p>
        </w:tc>
        <w:tc>
          <w:tcPr>
            <w:tcW w:w="3516" w:type="dxa"/>
            <w:noWrap/>
            <w:vAlign w:val="center"/>
          </w:tcPr>
          <w:p>
            <w:pPr>
              <w:widowControl/>
              <w:spacing w:line="360" w:lineRule="auto"/>
              <w:jc w:val="center"/>
              <w:textAlignment w:val="top"/>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报警动作值</w:t>
            </w:r>
          </w:p>
        </w:tc>
        <w:tc>
          <w:tcPr>
            <w:tcW w:w="2554"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2</w:t>
            </w:r>
          </w:p>
        </w:tc>
        <w:tc>
          <w:tcPr>
            <w:tcW w:w="351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量程指示偏差</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3</w:t>
            </w:r>
          </w:p>
        </w:tc>
        <w:tc>
          <w:tcPr>
            <w:tcW w:w="351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响应时间</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4</w:t>
            </w:r>
          </w:p>
        </w:tc>
        <w:tc>
          <w:tcPr>
            <w:tcW w:w="351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报警重复性</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5</w:t>
            </w:r>
          </w:p>
        </w:tc>
        <w:tc>
          <w:tcPr>
            <w:tcW w:w="3516"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静电放电抗扰度</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6</w:t>
            </w:r>
          </w:p>
        </w:tc>
        <w:tc>
          <w:tcPr>
            <w:tcW w:w="3516" w:type="dxa"/>
            <w:noWrap/>
            <w:vAlign w:val="center"/>
          </w:tcPr>
          <w:p>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射频电磁场辐射抗扰度</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jc w:val="center"/>
              <w:rPr>
                <w:rFonts w:hint="default" w:ascii="Times New Roman" w:hAnsi="Times New Roman" w:cs="Times New Roman"/>
              </w:rPr>
            </w:pPr>
            <w:r>
              <w:rPr>
                <w:rFonts w:hint="default" w:ascii="Times New Roman" w:hAnsi="Times New Roman" w:cs="Times New Roman"/>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7</w:t>
            </w:r>
          </w:p>
        </w:tc>
        <w:tc>
          <w:tcPr>
            <w:tcW w:w="351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高温（运行）</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8</w:t>
            </w:r>
          </w:p>
        </w:tc>
        <w:tc>
          <w:tcPr>
            <w:tcW w:w="351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低温（运行）</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noWrap/>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9</w:t>
            </w:r>
          </w:p>
        </w:tc>
        <w:tc>
          <w:tcPr>
            <w:tcW w:w="351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恒定湿热（运行）</w:t>
            </w:r>
          </w:p>
        </w:tc>
        <w:tc>
          <w:tcPr>
            <w:tcW w:w="2554" w:type="dxa"/>
            <w:noWrap/>
            <w:vAlign w:val="center"/>
          </w:tcPr>
          <w:p>
            <w:pPr>
              <w:jc w:val="center"/>
              <w:rPr>
                <w:rFonts w:hint="default" w:ascii="Times New Roman" w:hAnsi="Times New Roman" w:cs="Times New Roman"/>
              </w:rPr>
            </w:pPr>
            <w:r>
              <w:rPr>
                <w:rFonts w:hint="default" w:ascii="Times New Roman" w:hAnsi="Times New Roman" w:cs="Times New Roman"/>
                <w:szCs w:val="21"/>
              </w:rPr>
              <w:t>GB 15322.3-2019</w:t>
            </w:r>
          </w:p>
        </w:tc>
        <w:tc>
          <w:tcPr>
            <w:tcW w:w="2306" w:type="dxa"/>
            <w:noWrap/>
            <w:vAlign w:val="center"/>
          </w:tcPr>
          <w:p>
            <w:pPr>
              <w:widowControl/>
              <w:spacing w:line="360" w:lineRule="auto"/>
              <w:jc w:val="center"/>
              <w:textAlignment w:val="top"/>
              <w:rPr>
                <w:rFonts w:hint="default" w:ascii="Times New Roman" w:hAnsi="Times New Roman" w:cs="Times New Roman"/>
                <w:szCs w:val="21"/>
              </w:rPr>
            </w:pPr>
            <w:r>
              <w:rPr>
                <w:rFonts w:hint="default" w:ascii="Times New Roman" w:hAnsi="Times New Roman" w:cs="Times New Roman"/>
                <w:color w:val="000000"/>
                <w:kern w:val="0"/>
                <w:szCs w:val="21"/>
              </w:rPr>
              <w:t>GB 15322.3-2019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96" w:type="dxa"/>
            <w:gridSpan w:val="4"/>
            <w:noWrap/>
            <w:vAlign w:val="center"/>
          </w:tcPr>
          <w:p>
            <w:pPr>
              <w:spacing w:line="360" w:lineRule="auto"/>
              <w:jc w:val="both"/>
              <w:rPr>
                <w:rFonts w:ascii="宋体" w:hAnsi="宋体" w:cs="仿宋"/>
                <w:szCs w:val="21"/>
              </w:rPr>
            </w:pPr>
            <w:r>
              <w:rPr>
                <w:rFonts w:hint="eastAsia" w:ascii="宋体" w:hAnsi="宋体" w:cs="仿宋"/>
                <w:bCs/>
                <w:szCs w:val="21"/>
              </w:rPr>
              <w:t>注：检验项目以实际样品适用项为准。</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 15322.1-2019《可燃气体探测器 第1部分：工业及商业用途点型可燃气体探测器》</w:t>
      </w:r>
    </w:p>
    <w:p>
      <w:pPr>
        <w:snapToGrid w:val="0"/>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 15322.2-2019《可燃气体探测器 第2部分：家用可燃气体探测器》</w:t>
      </w:r>
    </w:p>
    <w:p>
      <w:pPr>
        <w:snapToGrid w:val="0"/>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 15322.3-2019《可燃气体探测器 第3部分：工业及商业用途便携式可燃气体探测器》</w:t>
      </w:r>
    </w:p>
    <w:p>
      <w:pPr>
        <w:snapToGrid w:val="0"/>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rPr>
          <w:szCs w:val="21"/>
        </w:rPr>
      </w:pPr>
    </w:p>
    <w:p>
      <w:pPr>
        <w:spacing w:line="440" w:lineRule="exact"/>
        <w:ind w:firstLine="420" w:firstLineChars="200"/>
        <w:rPr>
          <w:szCs w:val="21"/>
        </w:rPr>
      </w:pPr>
    </w:p>
    <w:p>
      <w:pPr>
        <w:pStyle w:val="2"/>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lZjI3MTIyZGUwM2YyNzE4Y2ZlN2NiN2YzZWU1MTEifQ=="/>
  </w:docVars>
  <w:rsids>
    <w:rsidRoot w:val="00172A27"/>
    <w:rsid w:val="00051A44"/>
    <w:rsid w:val="00081CBD"/>
    <w:rsid w:val="000976DE"/>
    <w:rsid w:val="000B4710"/>
    <w:rsid w:val="000B6AB8"/>
    <w:rsid w:val="001141F4"/>
    <w:rsid w:val="00144BFC"/>
    <w:rsid w:val="00161CC9"/>
    <w:rsid w:val="00172A27"/>
    <w:rsid w:val="001809DD"/>
    <w:rsid w:val="001A150E"/>
    <w:rsid w:val="001C3F45"/>
    <w:rsid w:val="001E297A"/>
    <w:rsid w:val="00203214"/>
    <w:rsid w:val="00253624"/>
    <w:rsid w:val="00292420"/>
    <w:rsid w:val="002B38DA"/>
    <w:rsid w:val="002D7F8A"/>
    <w:rsid w:val="002E0D1D"/>
    <w:rsid w:val="003102FB"/>
    <w:rsid w:val="003203A3"/>
    <w:rsid w:val="003C388C"/>
    <w:rsid w:val="003E4B35"/>
    <w:rsid w:val="003E61BF"/>
    <w:rsid w:val="003F6DDF"/>
    <w:rsid w:val="00413631"/>
    <w:rsid w:val="00445E86"/>
    <w:rsid w:val="00474E04"/>
    <w:rsid w:val="004C0D07"/>
    <w:rsid w:val="004D0C5A"/>
    <w:rsid w:val="004D370C"/>
    <w:rsid w:val="004E1396"/>
    <w:rsid w:val="005255D7"/>
    <w:rsid w:val="00563EBC"/>
    <w:rsid w:val="00564F4C"/>
    <w:rsid w:val="0058351D"/>
    <w:rsid w:val="005B7ED8"/>
    <w:rsid w:val="00605E49"/>
    <w:rsid w:val="00610555"/>
    <w:rsid w:val="006369D6"/>
    <w:rsid w:val="006E0056"/>
    <w:rsid w:val="006F0971"/>
    <w:rsid w:val="0072334C"/>
    <w:rsid w:val="0075488B"/>
    <w:rsid w:val="00754B02"/>
    <w:rsid w:val="007863DC"/>
    <w:rsid w:val="007C51AC"/>
    <w:rsid w:val="007E5DB4"/>
    <w:rsid w:val="008141C1"/>
    <w:rsid w:val="00826E57"/>
    <w:rsid w:val="00845A82"/>
    <w:rsid w:val="00895BEA"/>
    <w:rsid w:val="008A3497"/>
    <w:rsid w:val="008E7DAB"/>
    <w:rsid w:val="008F789C"/>
    <w:rsid w:val="00917A54"/>
    <w:rsid w:val="00964E71"/>
    <w:rsid w:val="009830E2"/>
    <w:rsid w:val="009C5BE7"/>
    <w:rsid w:val="00A00931"/>
    <w:rsid w:val="00A030E0"/>
    <w:rsid w:val="00A12D5C"/>
    <w:rsid w:val="00A21847"/>
    <w:rsid w:val="00A43553"/>
    <w:rsid w:val="00A609A0"/>
    <w:rsid w:val="00B34084"/>
    <w:rsid w:val="00C26074"/>
    <w:rsid w:val="00C83B0A"/>
    <w:rsid w:val="00CA7DB8"/>
    <w:rsid w:val="00CC33F8"/>
    <w:rsid w:val="00CD1580"/>
    <w:rsid w:val="00CE1E0C"/>
    <w:rsid w:val="00CE277E"/>
    <w:rsid w:val="00D000E0"/>
    <w:rsid w:val="00D56867"/>
    <w:rsid w:val="00D71EAE"/>
    <w:rsid w:val="00DC37F5"/>
    <w:rsid w:val="00E02A7F"/>
    <w:rsid w:val="00E07880"/>
    <w:rsid w:val="00E12124"/>
    <w:rsid w:val="00E35E78"/>
    <w:rsid w:val="00E53EF2"/>
    <w:rsid w:val="00E82621"/>
    <w:rsid w:val="00EA5ED4"/>
    <w:rsid w:val="00F05C9E"/>
    <w:rsid w:val="00F77C9A"/>
    <w:rsid w:val="00FB576C"/>
    <w:rsid w:val="00FC2905"/>
    <w:rsid w:val="00FC5382"/>
    <w:rsid w:val="00FD2AA6"/>
    <w:rsid w:val="00FE39D9"/>
    <w:rsid w:val="00FE7E8A"/>
    <w:rsid w:val="02AE01CC"/>
    <w:rsid w:val="04CA4286"/>
    <w:rsid w:val="04DB4CDB"/>
    <w:rsid w:val="09471A07"/>
    <w:rsid w:val="0B9B19E7"/>
    <w:rsid w:val="130651C0"/>
    <w:rsid w:val="14203E74"/>
    <w:rsid w:val="14904572"/>
    <w:rsid w:val="15001D0E"/>
    <w:rsid w:val="1B3F68A5"/>
    <w:rsid w:val="1DB422BC"/>
    <w:rsid w:val="1ECE699F"/>
    <w:rsid w:val="1F274302"/>
    <w:rsid w:val="20874153"/>
    <w:rsid w:val="22783080"/>
    <w:rsid w:val="231B27BC"/>
    <w:rsid w:val="278827D9"/>
    <w:rsid w:val="29727E07"/>
    <w:rsid w:val="2A8F0449"/>
    <w:rsid w:val="2C0927BF"/>
    <w:rsid w:val="31A52F0C"/>
    <w:rsid w:val="39E12A5B"/>
    <w:rsid w:val="3AB15AE4"/>
    <w:rsid w:val="3BDC71BE"/>
    <w:rsid w:val="475F6EEB"/>
    <w:rsid w:val="4A1C128E"/>
    <w:rsid w:val="4A486567"/>
    <w:rsid w:val="4A761E4D"/>
    <w:rsid w:val="4D8C2EEA"/>
    <w:rsid w:val="52ED60A5"/>
    <w:rsid w:val="55FC102D"/>
    <w:rsid w:val="570B70C9"/>
    <w:rsid w:val="5F9750F4"/>
    <w:rsid w:val="6006326F"/>
    <w:rsid w:val="603161B4"/>
    <w:rsid w:val="606E0AA6"/>
    <w:rsid w:val="65C251A5"/>
    <w:rsid w:val="67C617B5"/>
    <w:rsid w:val="6AC449B9"/>
    <w:rsid w:val="6B3D5917"/>
    <w:rsid w:val="6F5A5D48"/>
    <w:rsid w:val="6FD9375B"/>
    <w:rsid w:val="71025CA2"/>
    <w:rsid w:val="71F9338B"/>
    <w:rsid w:val="768A78C8"/>
    <w:rsid w:val="76D474B3"/>
    <w:rsid w:val="79077078"/>
    <w:rsid w:val="79980404"/>
    <w:rsid w:val="79DB17DE"/>
    <w:rsid w:val="7B42766E"/>
    <w:rsid w:val="9B7E3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5"/>
    <w:basedOn w:val="1"/>
    <w:next w:val="1"/>
    <w:link w:val="16"/>
    <w:qFormat/>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oc 1"/>
    <w:basedOn w:val="1"/>
    <w:next w:val="1"/>
    <w:qFormat/>
    <w:uiPriority w:val="0"/>
  </w:style>
  <w:style w:type="paragraph" w:styleId="4">
    <w:name w:val="annotation text"/>
    <w:basedOn w:val="1"/>
    <w:unhideWhenUsed/>
    <w:qFormat/>
    <w:uiPriority w:val="99"/>
    <w:pPr>
      <w:jc w:val="left"/>
    </w:pPr>
  </w:style>
  <w:style w:type="paragraph" w:styleId="5">
    <w:name w:val="Balloon Text"/>
    <w:basedOn w:val="1"/>
    <w:link w:val="11"/>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qFormat/>
    <w:uiPriority w:val="0"/>
  </w:style>
  <w:style w:type="character" w:customStyle="1" w:styleId="11">
    <w:name w:val="批注框文本 Char"/>
    <w:link w:val="5"/>
    <w:semiHidden/>
    <w:qFormat/>
    <w:uiPriority w:val="99"/>
    <w:rPr>
      <w:kern w:val="2"/>
      <w:sz w:val="18"/>
      <w:szCs w:val="18"/>
    </w:rPr>
  </w:style>
  <w:style w:type="character" w:customStyle="1" w:styleId="12">
    <w:name w:val="页脚 Char"/>
    <w:link w:val="6"/>
    <w:qFormat/>
    <w:uiPriority w:val="99"/>
    <w:rPr>
      <w:kern w:val="2"/>
      <w:sz w:val="18"/>
      <w:szCs w:val="18"/>
    </w:rPr>
  </w:style>
  <w:style w:type="character" w:customStyle="1" w:styleId="13">
    <w:name w:val="页眉 Char"/>
    <w:link w:val="7"/>
    <w:semiHidden/>
    <w:qFormat/>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_Style 13"/>
    <w:unhideWhenUsed/>
    <w:qFormat/>
    <w:uiPriority w:val="99"/>
    <w:rPr>
      <w:rFonts w:ascii="Times New Roman" w:hAnsi="Times New Roman" w:eastAsia="宋体" w:cs="Times New Roman"/>
      <w:kern w:val="2"/>
      <w:sz w:val="21"/>
      <w:szCs w:val="24"/>
      <w:lang w:val="en-US" w:eastAsia="zh-CN" w:bidi="ar-SA"/>
    </w:rPr>
  </w:style>
  <w:style w:type="character" w:customStyle="1" w:styleId="16">
    <w:name w:val="标题 5 Char"/>
    <w:basedOn w:val="9"/>
    <w:link w:val="3"/>
    <w:qFormat/>
    <w:uiPriority w:val="9"/>
    <w:rPr>
      <w:rFonts w:ascii="宋体" w:hAnsi="宋体" w:cs="宋体"/>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388</Words>
  <Characters>2212</Characters>
  <Lines>18</Lines>
  <Paragraphs>5</Paragraphs>
  <TotalTime>50</TotalTime>
  <ScaleCrop>false</ScaleCrop>
  <LinksUpToDate>false</LinksUpToDate>
  <CharactersWithSpaces>2595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2004-08-06T19:45:00Z</dcterms:created>
  <dc:creator>Legend User</dc:creator>
  <cp:lastModifiedBy>Administrator</cp:lastModifiedBy>
  <cp:lastPrinted>2019-12-05T23:53:00Z</cp:lastPrinted>
  <dcterms:modified xsi:type="dcterms:W3CDTF">2024-05-13T06:37:20Z</dcterms:modified>
  <dc:title>××产品质量监督抽查实施细则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36AEB860D5BC4AAF8C12AB4855EB06A1_13</vt:lpwstr>
  </property>
</Properties>
</file>