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400" w:lineRule="exact"/>
        <w:jc w:val="center"/>
        <w:rPr>
          <w:rFonts w:ascii="方正小标宋简体" w:eastAsia="方正小标宋简体"/>
          <w:sz w:val="36"/>
          <w:szCs w:val="36"/>
        </w:rPr>
      </w:pPr>
      <w:r>
        <w:rPr>
          <w:rFonts w:ascii="方正小标宋简体" w:eastAsia="方正小标宋简体" w:hint="eastAsia"/>
          <w:sz w:val="36"/>
          <w:szCs w:val="36"/>
        </w:rPr>
        <w:t>免于核查输出国家或地区官方动</w:t>
      </w:r>
      <w:r>
        <w:rPr>
          <w:rFonts w:ascii="方正小标宋简体" w:eastAsia="方正小标宋简体"/>
          <w:sz w:val="36"/>
          <w:szCs w:val="36"/>
        </w:rPr>
        <w:t>植</w:t>
      </w:r>
      <w:r>
        <w:rPr>
          <w:rFonts w:ascii="方正小标宋简体" w:eastAsia="方正小标宋简体" w:hint="eastAsia"/>
          <w:sz w:val="36"/>
          <w:szCs w:val="36"/>
        </w:rPr>
        <w:t>物检疫证书的清单</w:t>
      </w:r>
    </w:p>
    <w:p>
      <w:pPr>
        <w:spacing w:line="400" w:lineRule="exact"/>
        <w:jc w:val="center"/>
        <w:rPr>
          <w:rFonts w:ascii="方正仿宋简体" w:eastAsia="方正仿宋简体"/>
          <w:sz w:val="32"/>
          <w:szCs w:val="32"/>
        </w:rPr>
      </w:pPr>
    </w:p>
    <w:tbl>
      <w:tblPr>
        <w:jc w:val="cente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4037"/>
        <w:gridCol w:w="4962"/>
      </w:tblGrid>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b/>
                <w:sz w:val="24"/>
                <w:szCs w:val="24"/>
              </w:rPr>
            </w:pPr>
            <w:r>
              <w:rPr>
                <w:rFonts w:ascii="方正仿宋简体" w:eastAsia="方正仿宋简体" w:hint="eastAsia"/>
                <w:b/>
                <w:sz w:val="24"/>
                <w:szCs w:val="24"/>
              </w:rPr>
              <w:t>序</w:t>
            </w:r>
          </w:p>
          <w:p>
            <w:pPr>
              <w:spacing w:line="400" w:lineRule="exact"/>
              <w:jc w:val="center"/>
              <w:rPr>
                <w:rFonts w:ascii="方正仿宋简体" w:eastAsia="方正仿宋简体"/>
                <w:b/>
                <w:sz w:val="24"/>
                <w:szCs w:val="24"/>
              </w:rPr>
            </w:pPr>
            <w:r>
              <w:rPr>
                <w:rFonts w:ascii="方正仿宋简体" w:eastAsia="方正仿宋简体" w:hint="eastAsia"/>
                <w:b/>
                <w:sz w:val="24"/>
                <w:szCs w:val="24"/>
              </w:rPr>
              <w:t>号</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b/>
                <w:sz w:val="24"/>
                <w:szCs w:val="24"/>
              </w:rPr>
            </w:pPr>
            <w:r>
              <w:rPr>
                <w:rFonts w:ascii="方正仿宋简体" w:eastAsia="方正仿宋简体" w:hint="eastAsia"/>
                <w:b/>
                <w:sz w:val="24"/>
                <w:szCs w:val="24"/>
              </w:rPr>
              <w:t>产品范围</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b/>
                <w:sz w:val="24"/>
                <w:szCs w:val="24"/>
              </w:rPr>
            </w:pPr>
            <w:r>
              <w:rPr>
                <w:rFonts w:ascii="方正仿宋简体" w:eastAsia="方正仿宋简体"/>
                <w:b/>
                <w:sz w:val="24"/>
                <w:szCs w:val="24"/>
              </w:rPr>
              <w:t>申报</w:t>
            </w:r>
            <w:r>
              <w:rPr>
                <w:rFonts w:ascii="方正仿宋简体" w:eastAsia="方正仿宋简体" w:hint="eastAsia"/>
                <w:b/>
                <w:sz w:val="24"/>
                <w:szCs w:val="24"/>
              </w:rPr>
              <w:t>时须提供的附加声明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hint="eastAsia"/>
                <w:sz w:val="24"/>
                <w:szCs w:val="24"/>
              </w:rPr>
              <w:t>1</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经防腐处理的动物标本</w:t>
            </w:r>
            <w:r>
              <w:rPr>
                <w:rFonts w:ascii="方正仿宋简体" w:eastAsia="方正仿宋简体"/>
                <w:sz w:val="24"/>
                <w:szCs w:val="24"/>
              </w:rPr>
              <w:t>；</w:t>
            </w:r>
            <w:r>
              <w:rPr>
                <w:rFonts w:ascii="方正仿宋简体" w:eastAsia="方正仿宋简体" w:hint="eastAsia"/>
                <w:sz w:val="24"/>
                <w:szCs w:val="24"/>
              </w:rPr>
              <w:t>鞣制过的动物皮</w:t>
            </w:r>
            <w:r>
              <w:rPr>
                <w:rFonts w:ascii="方正仿宋简体" w:eastAsia="方正仿宋简体"/>
                <w:sz w:val="24"/>
                <w:szCs w:val="24"/>
              </w:rPr>
              <w:t>张</w:t>
            </w:r>
            <w:r>
              <w:rPr>
                <w:rFonts w:ascii="方正仿宋简体" w:eastAsia="方正仿宋简体" w:hint="eastAsia"/>
                <w:sz w:val="24"/>
                <w:szCs w:val="24"/>
              </w:rPr>
              <w:t>（来自无相关动物疫情禁令国家或地区）；化石类的动物蹄骨角牙</w:t>
            </w:r>
            <w:r>
              <w:rPr>
                <w:rFonts w:ascii="方正仿宋简体" w:eastAsia="方正仿宋简体"/>
                <w:sz w:val="24"/>
                <w:szCs w:val="24"/>
              </w:rPr>
              <w:t>，</w:t>
            </w:r>
            <w:r>
              <w:rPr>
                <w:rFonts w:ascii="方正仿宋简体" w:eastAsia="方正仿宋简体" w:hint="eastAsia"/>
                <w:sz w:val="24"/>
                <w:szCs w:val="24"/>
              </w:rPr>
              <w:t>深加工处理的动物蹄骨角牙等制作而成的文化艺术品</w:t>
            </w:r>
            <w:r>
              <w:rPr>
                <w:rFonts w:ascii="方正仿宋简体" w:eastAsia="方正仿宋简体"/>
                <w:sz w:val="24"/>
                <w:szCs w:val="24"/>
              </w:rPr>
              <w:t>，</w:t>
            </w:r>
            <w:r>
              <w:rPr>
                <w:rFonts w:ascii="方正仿宋简体" w:eastAsia="方正仿宋简体" w:hint="eastAsia"/>
                <w:sz w:val="24"/>
                <w:szCs w:val="24"/>
              </w:rPr>
              <w:t>动物角加工而成的研磨钵、茶叶勺、梳子、鞋拔等动物角制品。</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该文化艺术品中动物源性材料经过深加工处理的工艺说明。注：</w:t>
            </w:r>
          </w:p>
          <w:p>
            <w:pPr>
              <w:spacing w:line="400" w:lineRule="exact"/>
              <w:rPr>
                <w:rFonts w:ascii="方正仿宋简体" w:eastAsia="方正仿宋简体"/>
                <w:sz w:val="24"/>
                <w:szCs w:val="24"/>
              </w:rPr>
            </w:pPr>
            <w:r>
              <w:rPr>
                <w:rFonts w:ascii="方正仿宋简体" w:eastAsia="方正仿宋简体" w:hint="eastAsia"/>
                <w:sz w:val="24"/>
                <w:szCs w:val="24"/>
              </w:rPr>
              <w:t>对动物蹄骨角牙的深加工处理应至少满足：彻底干燥，无任何皮肤、肉、髓或肌腱残留。</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hint="eastAsia"/>
                <w:sz w:val="24"/>
                <w:szCs w:val="24"/>
              </w:rPr>
              <w:t>2</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已脱脂</w:t>
            </w:r>
            <w:r>
              <w:rPr>
                <w:rFonts w:ascii="方正仿宋简体" w:eastAsia="方正仿宋简体"/>
                <w:sz w:val="24"/>
                <w:szCs w:val="24"/>
              </w:rPr>
              <w:t>或染色</w:t>
            </w:r>
            <w:r>
              <w:rPr>
                <w:rFonts w:ascii="方正仿宋简体" w:eastAsia="方正仿宋简体" w:hint="eastAsia"/>
                <w:sz w:val="24"/>
                <w:szCs w:val="24"/>
              </w:rPr>
              <w:t>的羽毛装饰品</w:t>
            </w:r>
            <w:r>
              <w:rPr>
                <w:rFonts w:ascii="方正仿宋简体" w:eastAsia="方正仿宋简体"/>
                <w:sz w:val="24"/>
                <w:szCs w:val="24"/>
              </w:rPr>
              <w:t>，碳化毛，已梳毛，毛条</w:t>
            </w:r>
            <w:r>
              <w:rPr>
                <w:rFonts w:ascii="方正仿宋简体" w:eastAsia="方正仿宋简体" w:hint="eastAsia"/>
                <w:sz w:val="24"/>
                <w:szCs w:val="24"/>
              </w:rPr>
              <w:t>；生丝；</w:t>
            </w:r>
            <w:r>
              <w:rPr>
                <w:rFonts w:ascii="方正仿宋简体" w:eastAsia="方正仿宋简体"/>
                <w:sz w:val="24"/>
                <w:szCs w:val="24"/>
              </w:rPr>
              <w:t>其他蜂产品；</w:t>
            </w:r>
            <w:r>
              <w:rPr>
                <w:rFonts w:ascii="方正仿宋简体" w:eastAsia="方正仿宋简体" w:hint="eastAsia"/>
                <w:sz w:val="24"/>
                <w:szCs w:val="24"/>
              </w:rPr>
              <w:t>加工</w:t>
            </w:r>
            <w:r>
              <w:rPr>
                <w:rFonts w:ascii="方正仿宋简体" w:eastAsia="方正仿宋简体"/>
                <w:sz w:val="24"/>
                <w:szCs w:val="24"/>
              </w:rPr>
              <w:t>的皮、骨、鳞、</w:t>
            </w:r>
            <w:r>
              <w:rPr>
                <w:rFonts w:ascii="方正仿宋简体" w:eastAsia="方正仿宋简体" w:hint="eastAsia"/>
                <w:sz w:val="24"/>
                <w:szCs w:val="24"/>
              </w:rPr>
              <w:t>壳</w:t>
            </w:r>
            <w:r>
              <w:rPr>
                <w:rFonts w:ascii="方正仿宋简体" w:eastAsia="方正仿宋简体"/>
                <w:sz w:val="24"/>
                <w:szCs w:val="24"/>
              </w:rPr>
              <w:t>等水生动物副产品</w:t>
            </w:r>
            <w:r>
              <w:rPr>
                <w:rFonts w:ascii="方正仿宋简体" w:eastAsia="方正仿宋简体" w:hint="eastAsia"/>
                <w:sz w:val="24"/>
                <w:szCs w:val="24"/>
              </w:rPr>
              <w:t>，</w:t>
            </w:r>
            <w:r>
              <w:rPr>
                <w:rFonts w:ascii="方正仿宋简体" w:eastAsia="方正仿宋简体"/>
                <w:sz w:val="24"/>
                <w:szCs w:val="24"/>
              </w:rPr>
              <w:t>珊瑚</w:t>
            </w:r>
            <w:r>
              <w:rPr>
                <w:rFonts w:ascii="方正仿宋简体" w:eastAsia="方正仿宋简体" w:hint="eastAsia"/>
                <w:sz w:val="24"/>
                <w:szCs w:val="24"/>
              </w:rPr>
              <w:t>、珍珠、天然海绵</w:t>
            </w:r>
            <w:r>
              <w:rPr>
                <w:rFonts w:ascii="方正仿宋简体" w:eastAsia="方正仿宋简体"/>
                <w:sz w:val="24"/>
                <w:szCs w:val="24"/>
              </w:rPr>
              <w:t>及其制品。</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产品经过深加工处理的工艺说明。</w:t>
            </w:r>
          </w:p>
          <w:p>
            <w:pPr>
              <w:spacing w:line="400" w:lineRule="exact"/>
              <w:rPr>
                <w:rFonts w:ascii="方正仿宋简体" w:eastAsia="方正仿宋简体"/>
                <w:sz w:val="24"/>
                <w:szCs w:val="24"/>
              </w:rPr>
            </w:pPr>
            <w:r>
              <w:rPr>
                <w:rFonts w:ascii="方正仿宋简体" w:eastAsia="方正仿宋简体" w:hint="eastAsia"/>
                <w:sz w:val="24"/>
                <w:szCs w:val="24"/>
              </w:rPr>
              <w:t>注：</w:t>
            </w:r>
          </w:p>
          <w:p>
            <w:pPr>
              <w:spacing w:line="400" w:lineRule="exact"/>
              <w:rPr>
                <w:rFonts w:ascii="方正仿宋简体" w:eastAsia="方正仿宋简体"/>
                <w:sz w:val="24"/>
                <w:szCs w:val="24"/>
              </w:rPr>
            </w:pPr>
            <w:r>
              <w:rPr>
                <w:rFonts w:ascii="方正仿宋简体" w:eastAsia="方正仿宋简体" w:hint="eastAsia"/>
                <w:sz w:val="24"/>
                <w:szCs w:val="24"/>
              </w:rPr>
              <w:t>1.脱脂羽毛应至少满足：耗氧量≦10mg</w:t>
            </w:r>
            <w:r>
              <w:rPr>
                <w:rFonts w:ascii="方正仿宋简体" w:eastAsia="方正仿宋简体"/>
                <w:sz w:val="24"/>
                <w:szCs w:val="24"/>
              </w:rPr>
              <w:t>/100g</w:t>
            </w:r>
            <w:r>
              <w:rPr>
                <w:rFonts w:ascii="方正仿宋简体" w:eastAsia="方正仿宋简体" w:hint="eastAsia"/>
                <w:sz w:val="24"/>
                <w:szCs w:val="24"/>
              </w:rPr>
              <w:t>，残脂率≦1%。</w:t>
            </w:r>
          </w:p>
          <w:p>
            <w:pPr>
              <w:spacing w:line="400" w:lineRule="exact"/>
              <w:rPr>
                <w:rFonts w:ascii="方正仿宋简体" w:eastAsia="方正仿宋简体"/>
                <w:sz w:val="24"/>
                <w:szCs w:val="24"/>
              </w:rPr>
            </w:pPr>
            <w:r>
              <w:rPr>
                <w:rFonts w:ascii="方正仿宋简体" w:eastAsia="方正仿宋简体" w:hint="eastAsia"/>
                <w:sz w:val="24"/>
                <w:szCs w:val="24"/>
              </w:rPr>
              <w:t>2.</w:t>
            </w:r>
            <w:r>
              <w:rPr>
                <w:rFonts w:ascii="方正仿宋简体" w:eastAsia="方正仿宋简体"/>
                <w:sz w:val="24"/>
                <w:szCs w:val="24"/>
              </w:rPr>
              <w:t>皮、骨、鳞、</w:t>
            </w:r>
            <w:r>
              <w:rPr>
                <w:rFonts w:ascii="方正仿宋简体" w:eastAsia="方正仿宋简体" w:hint="eastAsia"/>
                <w:sz w:val="24"/>
                <w:szCs w:val="24"/>
              </w:rPr>
              <w:t>壳等水生动物副产品的深加工应至少满足：彻底清洗干燥、不带有任何软组织或肉体。</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3</w:t>
            </w:r>
          </w:p>
        </w:tc>
        <w:tc>
          <w:tcPr>
            <w:tcW w:w="4037" w:type="dxa"/>
            <w:tcBorders>
              <w:top w:val="single" w:sz="4" w:space="0" w:color="auto"/>
              <w:left w:val="single" w:sz="4" w:space="0" w:color="auto"/>
              <w:bottom w:val="single" w:sz="4" w:space="0" w:color="auto"/>
              <w:right w:val="single" w:sz="4" w:space="0" w:color="auto"/>
            </w:tcBorders>
            <w:vAlign w:val="center"/>
          </w:tcPr>
          <w:p>
            <w:pPr>
              <w:pStyle w:val="20"/>
              <w:spacing w:line="400" w:lineRule="exact"/>
              <w:jc w:val="left"/>
              <w:rPr>
                <w:rFonts w:ascii="方正仿宋简体" w:eastAsia="方正仿宋简体"/>
                <w:sz w:val="24"/>
              </w:rPr>
            </w:pPr>
            <w:r>
              <w:rPr>
                <w:rFonts w:ascii="方正仿宋简体" w:eastAsia="方正仿宋简体"/>
                <w:sz w:val="24"/>
              </w:rPr>
              <w:t>不含动植物源性成分的饲料添加剂和添加剂预混合饲料。</w:t>
            </w:r>
          </w:p>
        </w:tc>
        <w:tc>
          <w:tcPr>
            <w:tcW w:w="4962" w:type="dxa"/>
            <w:tcBorders>
              <w:top w:val="single" w:sz="4" w:space="0" w:color="auto"/>
              <w:left w:val="single" w:sz="4" w:space="0" w:color="auto"/>
              <w:bottom w:val="single" w:sz="4" w:space="0" w:color="auto"/>
              <w:right w:val="single" w:sz="4" w:space="0" w:color="auto"/>
            </w:tcBorders>
            <w:vAlign w:val="center"/>
          </w:tcPr>
          <w:p>
            <w:pPr>
              <w:pStyle w:val="21"/>
              <w:spacing w:line="400" w:lineRule="exact"/>
              <w:jc w:val="left"/>
              <w:rPr>
                <w:rFonts w:ascii="方正仿宋简体" w:eastAsia="方正仿宋简体"/>
                <w:sz w:val="24"/>
              </w:rPr>
            </w:pPr>
            <w:r>
              <w:rPr>
                <w:rFonts w:ascii="方正仿宋简体" w:eastAsia="方正仿宋简体"/>
                <w:sz w:val="24"/>
              </w:rPr>
              <w:t>产品成分说明。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4</w:t>
            </w:r>
          </w:p>
        </w:tc>
        <w:tc>
          <w:tcPr>
            <w:tcW w:w="4037" w:type="dxa"/>
            <w:tcBorders>
              <w:top w:val="single" w:sz="4" w:space="0" w:color="auto"/>
              <w:left w:val="single" w:sz="4" w:space="0" w:color="auto"/>
              <w:bottom w:val="single" w:sz="4" w:space="0" w:color="auto"/>
              <w:right w:val="single" w:sz="4" w:space="0" w:color="auto"/>
            </w:tcBorders>
            <w:vAlign w:val="center"/>
          </w:tcPr>
          <w:p>
            <w:pPr>
              <w:pStyle w:val="20"/>
              <w:spacing w:line="400" w:lineRule="exact"/>
              <w:jc w:val="left"/>
              <w:rPr>
                <w:rFonts w:ascii="方正仿宋简体" w:eastAsia="方正仿宋简体"/>
                <w:sz w:val="24"/>
              </w:rPr>
            </w:pPr>
            <w:r>
              <w:rPr>
                <w:rFonts w:ascii="方正仿宋简体" w:eastAsia="方正仿宋简体" w:hint="eastAsia"/>
                <w:sz w:val="24"/>
              </w:rPr>
              <w:t>深加工的</w:t>
            </w:r>
            <w:r>
              <w:rPr>
                <w:rFonts w:ascii="方正仿宋简体" w:eastAsia="方正仿宋简体"/>
                <w:sz w:val="24"/>
              </w:rPr>
              <w:t>竹</w:t>
            </w:r>
            <w:r>
              <w:rPr>
                <w:rFonts w:ascii="方正仿宋简体" w:eastAsia="方正仿宋简体" w:hint="eastAsia"/>
                <w:sz w:val="24"/>
              </w:rPr>
              <w:t>木制品、</w:t>
            </w:r>
            <w:r>
              <w:rPr>
                <w:rFonts w:ascii="方正仿宋简体" w:eastAsia="方正仿宋简体"/>
                <w:sz w:val="24"/>
              </w:rPr>
              <w:t>竹</w:t>
            </w:r>
            <w:r>
              <w:rPr>
                <w:rFonts w:ascii="方正仿宋简体" w:eastAsia="方正仿宋简体" w:hint="eastAsia"/>
                <w:sz w:val="24"/>
              </w:rPr>
              <w:t>木家具、树根雕刻制品、木质雕刻制品、藤蔓编织品、植物枝条编织品、植物粉末、水果粉末。</w:t>
            </w:r>
          </w:p>
        </w:tc>
        <w:tc>
          <w:tcPr>
            <w:tcW w:w="4962" w:type="dxa"/>
            <w:tcBorders>
              <w:top w:val="single" w:sz="4" w:space="0" w:color="auto"/>
              <w:left w:val="single" w:sz="4" w:space="0" w:color="auto"/>
              <w:bottom w:val="single" w:sz="4" w:space="0" w:color="auto"/>
              <w:right w:val="single" w:sz="4" w:space="0" w:color="auto"/>
            </w:tcBorders>
            <w:vAlign w:val="center"/>
          </w:tcPr>
          <w:p>
            <w:pPr>
              <w:pStyle w:val="21"/>
              <w:spacing w:line="400" w:lineRule="exact"/>
              <w:jc w:val="left"/>
              <w:rPr>
                <w:rFonts w:ascii="方正仿宋简体" w:eastAsia="方正仿宋简体"/>
                <w:sz w:val="24"/>
              </w:rPr>
            </w:pPr>
            <w:r>
              <w:rPr>
                <w:rFonts w:ascii="方正仿宋简体" w:eastAsia="方正仿宋简体" w:hint="eastAsia"/>
                <w:sz w:val="24"/>
              </w:rPr>
              <w:t>产品经加热、加压等深加工制作的声明。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5</w:t>
            </w:r>
          </w:p>
        </w:tc>
        <w:tc>
          <w:tcPr>
            <w:tcW w:w="4037" w:type="dxa"/>
            <w:tcBorders>
              <w:top w:val="single" w:sz="4" w:space="0" w:color="auto"/>
              <w:left w:val="single" w:sz="4" w:space="0" w:color="auto"/>
              <w:bottom w:val="single" w:sz="4" w:space="0" w:color="auto"/>
              <w:right w:val="single" w:sz="4" w:space="0" w:color="auto"/>
            </w:tcBorders>
            <w:vAlign w:val="center"/>
          </w:tcPr>
          <w:p>
            <w:pPr>
              <w:pStyle w:val="22"/>
              <w:spacing w:line="400" w:lineRule="exact"/>
              <w:jc w:val="left"/>
              <w:rPr>
                <w:rFonts w:ascii="方正仿宋简体" w:eastAsia="方正仿宋简体"/>
                <w:sz w:val="24"/>
              </w:rPr>
            </w:pPr>
            <w:r>
              <w:rPr>
                <w:rFonts w:ascii="方正仿宋简体" w:eastAsia="方正仿宋简体" w:hint="eastAsia"/>
                <w:spacing w:val="4"/>
                <w:sz w:val="24"/>
              </w:rPr>
              <w:t>虫胶；树胶；树脂及其他植物液、汁；天然乳胶或硫化天然乳胶；天然橡胶烟胶片。</w:t>
            </w:r>
          </w:p>
        </w:tc>
        <w:tc>
          <w:tcPr>
            <w:tcW w:w="4962" w:type="dxa"/>
            <w:tcBorders>
              <w:top w:val="single" w:sz="4" w:space="0" w:color="auto"/>
              <w:left w:val="single" w:sz="4" w:space="0" w:color="auto"/>
              <w:bottom w:val="single" w:sz="4" w:space="0" w:color="auto"/>
              <w:right w:val="single" w:sz="4" w:space="0" w:color="auto"/>
            </w:tcBorders>
            <w:vAlign w:val="center"/>
          </w:tcPr>
          <w:p>
            <w:pPr>
              <w:pStyle w:val="23"/>
              <w:spacing w:line="400" w:lineRule="exact"/>
              <w:jc w:val="left"/>
              <w:rPr>
                <w:rFonts w:ascii="方正仿宋简体" w:eastAsia="方正仿宋简体"/>
                <w:sz w:val="24"/>
              </w:rPr>
            </w:pPr>
            <w:r>
              <w:rPr>
                <w:rFonts w:ascii="方正仿宋简体" w:eastAsia="方正仿宋简体" w:cs="仿宋_GB2312" w:hint="eastAsia"/>
                <w:sz w:val="24"/>
              </w:rPr>
              <w:t>无。</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6</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含动物源性成分的商品化体外诊断/科研检测试剂</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trike/>
                <w:dstrike w:val="0"/>
                <w:sz w:val="24"/>
                <w:szCs w:val="24"/>
              </w:rPr>
            </w:pPr>
            <w:r>
              <w:rPr>
                <w:rFonts w:ascii="方正仿宋简体" w:eastAsia="方正仿宋简体" w:hint="eastAsia"/>
                <w:sz w:val="24"/>
                <w:szCs w:val="24"/>
              </w:rPr>
              <w:t>境外生产商出具的安全声明。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7</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trike/>
                <w:dstrike w:val="0"/>
                <w:sz w:val="24"/>
                <w:szCs w:val="24"/>
              </w:rPr>
            </w:pPr>
            <w:r>
              <w:rPr>
                <w:rFonts w:ascii="方正仿宋简体" w:eastAsia="方正仿宋简体" w:hint="eastAsia"/>
                <w:sz w:val="24"/>
                <w:szCs w:val="24"/>
              </w:rPr>
              <w:t>经有效化学变性处理的动植物组织、器官及其切片</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trike/>
                <w:dstrike w:val="0"/>
                <w:sz w:val="24"/>
                <w:szCs w:val="24"/>
              </w:rPr>
            </w:pPr>
            <w:r>
              <w:rPr>
                <w:rFonts w:ascii="方正仿宋简体" w:eastAsia="方正仿宋简体" w:hint="eastAsia"/>
                <w:sz w:val="24"/>
                <w:szCs w:val="24"/>
              </w:rPr>
              <w:t>境外生产商出具的安全声明。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8</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来自商品化细胞库（包括：ATCC、NVSL、DSMZ、ECACC、KCLB、JCRB、RIKEN）的动物细胞系。</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境外生产商出具的安全声明。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sz w:val="24"/>
                <w:szCs w:val="24"/>
              </w:rPr>
              <w:t>9</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sz w:val="24"/>
                <w:szCs w:val="24"/>
              </w:rPr>
              <w:t>实验用模式果蝇、模式线虫</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sz w:val="24"/>
                <w:szCs w:val="24"/>
              </w:rPr>
              <w:t>无</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hint="eastAsia"/>
                <w:sz w:val="24"/>
                <w:szCs w:val="24"/>
              </w:rPr>
              <w:t>1</w:t>
            </w:r>
            <w:r>
              <w:rPr>
                <w:rFonts w:ascii="方正仿宋简体" w:eastAsia="方正仿宋简体"/>
                <w:sz w:val="24"/>
                <w:szCs w:val="24"/>
              </w:rPr>
              <w:t>0</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trike/>
                <w:dstrike w:val="0"/>
                <w:sz w:val="24"/>
                <w:szCs w:val="24"/>
              </w:rPr>
            </w:pPr>
            <w:r>
              <w:rPr>
                <w:rFonts w:ascii="方正仿宋简体" w:eastAsia="方正仿宋简体" w:hint="eastAsia"/>
                <w:sz w:val="24"/>
                <w:szCs w:val="24"/>
              </w:rPr>
              <w:t>《动物病原微生物分类名录》以及植物检疫性有害生物范围外的动植物检疫相关非感染性微生物、非致病性微生物的DNA/RNA，动植物质粒和DNA/RNA</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境外生产商出具的安全声明。</w:t>
            </w:r>
          </w:p>
        </w:tc>
      </w:tr>
      <w:tr>
        <w:tc>
          <w:tcPr>
            <w:tcW w:w="53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方正仿宋简体" w:eastAsia="方正仿宋简体"/>
                <w:sz w:val="24"/>
                <w:szCs w:val="24"/>
              </w:rPr>
            </w:pPr>
            <w:r>
              <w:rPr>
                <w:rFonts w:ascii="方正仿宋简体" w:eastAsia="方正仿宋简体" w:hint="eastAsia"/>
                <w:sz w:val="24"/>
                <w:szCs w:val="24"/>
              </w:rPr>
              <w:t>1</w:t>
            </w:r>
            <w:r>
              <w:rPr>
                <w:rFonts w:ascii="方正仿宋简体" w:eastAsia="方正仿宋简体"/>
                <w:sz w:val="24"/>
                <w:szCs w:val="24"/>
              </w:rPr>
              <w:t>1</w:t>
            </w:r>
          </w:p>
        </w:tc>
        <w:tc>
          <w:tcPr>
            <w:tcW w:w="4037"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trike/>
                <w:dstrike w:val="0"/>
                <w:sz w:val="24"/>
                <w:szCs w:val="24"/>
              </w:rPr>
            </w:pPr>
            <w:r>
              <w:rPr>
                <w:rFonts w:ascii="方正仿宋简体" w:eastAsia="方正仿宋简体" w:hint="eastAsia"/>
                <w:sz w:val="24"/>
                <w:szCs w:val="24"/>
              </w:rPr>
              <w:t>经有效纯化工艺处理的干扰素、激素、毒素、类毒素、酶和酶制剂、单/多克隆抗体、细胞因子、微粒体、蛋白等动植物源非感染性生物制品</w:t>
            </w:r>
          </w:p>
        </w:tc>
        <w:tc>
          <w:tcPr>
            <w:tcW w:w="4962"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境外生产商出具的安全声明。</w:t>
            </w:r>
          </w:p>
        </w:tc>
      </w:tr>
      <w:tr>
        <w:tc>
          <w:tcPr>
            <w:tcW w:w="953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rPr>
                <w:rFonts w:ascii="方正仿宋简体" w:eastAsia="方正仿宋简体"/>
                <w:sz w:val="24"/>
                <w:szCs w:val="24"/>
              </w:rPr>
            </w:pPr>
            <w:r>
              <w:rPr>
                <w:rFonts w:ascii="方正仿宋简体" w:eastAsia="方正仿宋简体" w:hint="eastAsia"/>
                <w:sz w:val="24"/>
                <w:szCs w:val="24"/>
              </w:rPr>
              <w:t>注：本表汇总整理了</w:t>
            </w:r>
            <w:r>
              <w:rPr>
                <w:rFonts w:ascii="方正仿宋简体" w:eastAsia="方正仿宋简体"/>
                <w:sz w:val="24"/>
                <w:szCs w:val="24"/>
              </w:rPr>
              <w:t>《质检总局关于推广京津冀沪进境生物材料监管试点经验及开展新一轮试点的公告》（2017年第94号）、《海关总署关于优化进境非食用动物产品风险级别及检验检疫监管措施的公告》（2024年第208号）、</w:t>
            </w:r>
            <w:r>
              <w:rPr>
                <w:rFonts w:ascii="方正仿宋简体" w:eastAsia="方正仿宋简体" w:hint="eastAsia"/>
                <w:sz w:val="24"/>
                <w:szCs w:val="24"/>
              </w:rPr>
              <w:t>《海关总署关于科学完善进出境生物材料检疫监管措施的公告》（2025年第254号）</w:t>
            </w:r>
            <w:r>
              <w:rPr>
                <w:rFonts w:ascii="方正仿宋简体" w:eastAsia="方正仿宋简体"/>
                <w:sz w:val="24"/>
                <w:szCs w:val="24"/>
              </w:rPr>
              <w:t>、《海关总署关于优化进口饲料和饲料添加剂检验检疫监管措施的公告》（</w:t>
            </w:r>
            <w:r>
              <w:rPr>
                <w:rFonts w:ascii="方正仿宋简体" w:eastAsia="方正仿宋简体" w:hint="eastAsia"/>
                <w:sz w:val="24"/>
                <w:szCs w:val="24"/>
              </w:rPr>
              <w:t>2025年第25</w:t>
            </w:r>
            <w:r>
              <w:rPr>
                <w:rFonts w:ascii="方正仿宋简体" w:eastAsia="方正仿宋简体"/>
                <w:sz w:val="24"/>
                <w:szCs w:val="24"/>
              </w:rPr>
              <w:t>7</w:t>
            </w:r>
            <w:r>
              <w:rPr>
                <w:rFonts w:ascii="方正仿宋简体" w:eastAsia="方正仿宋简体" w:hint="eastAsia"/>
                <w:sz w:val="24"/>
                <w:szCs w:val="24"/>
              </w:rPr>
              <w:t>号</w:t>
            </w:r>
            <w:r>
              <w:rPr>
                <w:rFonts w:ascii="方正仿宋简体" w:eastAsia="方正仿宋简体"/>
                <w:sz w:val="24"/>
                <w:szCs w:val="24"/>
              </w:rPr>
              <w:t>）</w:t>
            </w:r>
            <w:r>
              <w:rPr>
                <w:rFonts w:ascii="方正仿宋简体" w:eastAsia="方正仿宋简体" w:hint="eastAsia"/>
                <w:sz w:val="24"/>
                <w:szCs w:val="24"/>
              </w:rPr>
              <w:t>中的相关内容。</w:t>
            </w:r>
          </w:p>
        </w:tc>
      </w:tr>
    </w:tbl>
    <w:p>
      <w:pPr>
        <w:spacing w:line="400" w:lineRule="exact"/>
        <w:rPr>
          <w:rFonts w:ascii="方正仿宋简体" w:eastAsia="方正仿宋简体"/>
          <w:sz w:val="28"/>
          <w:szCs w:val="28"/>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altName w:val="Arial Unicode MS"/>
    <w:panose1 w:val="00000000000000000000"/>
    <w:charset w:val="86"/>
    <w:family w:val="auto"/>
    <w:pitch w:val="variable"/>
    <w:sig w:usb0="00000001" w:usb1="080E0000" w:usb2="00000010" w:usb3="00000000" w:csb0="00040000" w:csb1="00000000"/>
  </w:font>
  <w:font w:name="方正仿宋简体">
    <w:altName w:val="方正仿宋_GBK"/>
    <w:panose1 w:val="00000000000000000000"/>
    <w:charset w:val="86"/>
    <w:family w:val="auto"/>
    <w:pitch w:val="variable"/>
    <w:sig w:usb0="00000001" w:usb1="080E0000" w:usb2="00000010" w:usb3="00000000" w:csb0="00040000" w:csb1="00000000"/>
  </w:font>
  <w:font w:name="仿宋_GB2312">
    <w:altName w:val="仿宋"/>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宋体">
    <w:altName w:val="华文宋体"/>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列出段落1"/>
    <w:basedOn w:val="0"/>
    <w:pPr>
      <w:ind w:firstLineChars="200" w:firstLine="200"/>
    </w:pPr>
  </w:style>
  <w:style w:type="paragraph" w:customStyle="1" w:styleId="1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17">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19">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22">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25">
    <w:name w:val="样式 9 10 磅"/>
    <w:pPr>
      <w:widowControl w:val="0"/>
      <w:jc w:val="both"/>
    </w:pPr>
    <w:rPr>
      <w:rFonts w:ascii="Times New Roman" w:eastAsia="宋体" w:cs="Times New Roman" w:hAnsi="Times New Roman"/>
      <w:kern w:val="2"/>
      <w:sz w:val="21"/>
      <w:szCs w:val="24"/>
      <w:lang w:val="en-US" w:eastAsia="zh-CN" w:bidi="ar-SA"/>
    </w:rPr>
  </w:style>
  <w:style w:type="paragraph" w:styleId="26">
    <w:name w:val="header"/>
    <w:basedOn w:val="0"/>
    <w:pPr>
      <w:pBdr>
        <w:bottom w:val="single" w:sz="6" w:space="1" w:color="auto"/>
      </w:pBdr>
      <w:tabs>
        <w:tab w:val="center" w:pos="4153"/>
        <w:tab w:val="right" w:pos="8306"/>
      </w:tabs>
      <w:snapToGrid w:val="0"/>
      <w:jc w:val="center"/>
    </w:pPr>
    <w:rPr>
      <w:sz w:val="18"/>
      <w:szCs w:val="18"/>
    </w:rPr>
  </w:style>
  <w:style w:type="paragraph" w:styleId="27">
    <w:name w:val="footer"/>
    <w:basedOn w:val="0"/>
    <w:pPr>
      <w:tabs>
        <w:tab w:val="center" w:pos="4153"/>
        <w:tab w:val="right" w:pos="8306"/>
      </w:tabs>
      <w:snapToGrid w:val="0"/>
      <w:jc w:val="left"/>
    </w:pPr>
    <w:rPr>
      <w:sz w:val="18"/>
      <w:szCs w:val="18"/>
    </w:rPr>
  </w:style>
  <w:style w:type="paragraph" w:styleId="28">
    <w:name w:val="annotation text"/>
    <w:basedOn w:val="0"/>
    <w:pPr>
      <w:jc w:val="left"/>
    </w:pPr>
  </w:style>
  <w:style w:type="paragraph" w:styleId="29">
    <w:name w:val="annotation subject"/>
    <w:basedOn w:val="28"/>
    <w:next w:val="28"/>
    <w:rPr>
      <w:b/>
      <w:bCs/>
    </w:rPr>
  </w:style>
  <w:style w:type="paragraph" w:customStyle="1" w:styleId="30">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12 10 磅"/>
    <w:pPr>
      <w:widowControl w:val="0"/>
      <w:jc w:val="both"/>
    </w:pPr>
    <w:rPr>
      <w:rFonts w:ascii="Calibri" w:eastAsia="宋体" w:cs="Times New Roman" w:hAnsi="Calibri"/>
      <w:kern w:val="2"/>
      <w:sz w:val="21"/>
      <w:szCs w:val="22"/>
      <w:lang w:val="en-US" w:eastAsia="zh-CN" w:bidi="ar-SA"/>
    </w:rPr>
  </w:style>
  <w:style w:type="paragraph" w:customStyle="1" w:styleId="33">
    <w:name w:val="样式 13 10 磅"/>
    <w:pPr>
      <w:widowControl w:val="0"/>
      <w:jc w:val="both"/>
    </w:pPr>
    <w:rPr>
      <w:rFonts w:ascii="Calibri" w:eastAsia="宋体" w:cs="Times New Roman" w:hAnsi="Calibri"/>
      <w:kern w:val="2"/>
      <w:sz w:val="21"/>
      <w:szCs w:val="22"/>
      <w:lang w:val="en-US" w:eastAsia="zh-CN" w:bidi="ar-SA"/>
    </w:rPr>
  </w:style>
  <w:style w:type="paragraph" w:customStyle="1" w:styleId="34">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0 10 磅"/>
    <w:pPr>
      <w:widowControl w:val="0"/>
      <w:jc w:val="both"/>
    </w:pPr>
    <w:rPr>
      <w:rFonts w:ascii="Calibri" w:eastAsia="宋体" w:cs="Times New Roman" w:hAnsi="Calibri"/>
      <w:kern w:val="2"/>
      <w:sz w:val="21"/>
      <w:szCs w:val="22"/>
      <w:lang w:val="en-US" w:eastAsia="zh-CN" w:bidi="ar-SA"/>
    </w:rPr>
  </w:style>
  <w:style w:type="paragraph" w:customStyle="1" w:styleId="41">
    <w:name w:val="样式 21 10 磅"/>
    <w:pPr>
      <w:widowControl w:val="0"/>
      <w:jc w:val="both"/>
    </w:pPr>
    <w:rPr>
      <w:rFonts w:ascii="Calibri" w:eastAsia="宋体" w:cs="Times New Roman" w:hAnsi="Calibri"/>
      <w:kern w:val="2"/>
      <w:sz w:val="21"/>
      <w:szCs w:val="22"/>
      <w:lang w:val="en-US" w:eastAsia="zh-CN" w:bidi="ar-SA"/>
    </w:rPr>
  </w:style>
  <w:style w:type="paragraph" w:customStyle="1" w:styleId="42">
    <w:name w:val="样式 22 10 磅"/>
    <w:pPr>
      <w:widowControl w:val="0"/>
      <w:jc w:val="both"/>
    </w:pPr>
    <w:rPr>
      <w:rFonts w:ascii="Calibri" w:eastAsia="宋体" w:cs="Times New Roman" w:hAnsi="Calibri"/>
      <w:kern w:val="2"/>
      <w:sz w:val="21"/>
      <w:szCs w:val="22"/>
      <w:lang w:val="en-US" w:eastAsia="zh-CN" w:bidi="ar-SA"/>
    </w:rPr>
  </w:style>
  <w:style w:type="paragraph" w:customStyle="1" w:styleId="43">
    <w:name w:val="样式 23 10 磅"/>
    <w:pPr>
      <w:widowControl w:val="0"/>
      <w:jc w:val="both"/>
    </w:pPr>
    <w:rPr>
      <w:rFonts w:ascii="Calibri" w:eastAsia="宋体" w:cs="Times New Roman" w:hAnsi="Calibri"/>
      <w:kern w:val="2"/>
      <w:sz w:val="21"/>
      <w:szCs w:val="22"/>
      <w:lang w:val="en-US" w:eastAsia="zh-CN" w:bidi="ar-SA"/>
    </w:rPr>
  </w:style>
  <w:style w:type="paragraph" w:customStyle="1" w:styleId="44">
    <w:name w:val="样式 24 10 磅"/>
    <w:pPr>
      <w:widowControl w:val="0"/>
      <w:jc w:val="both"/>
    </w:pPr>
    <w:rPr>
      <w:rFonts w:ascii="Calibri" w:eastAsia="宋体" w:cs="Times New Roman"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1739</TotalTime>
  <Application>Yozo_Office</Application>
  <Pages>1</Pages>
  <Words>11</Words>
  <Characters>11</Characters>
  <Lines>1</Lines>
  <Paragraphs>0</Paragraphs>
  <CharactersWithSpaces>11</CharactersWithSpaces>
  <Company>Lenovo</Company>
</Properties>
</file>

<file path=docProps/core.xml><?xml version="1.0" encoding="utf-8"?>
<cp:coreProperties xmlns:cp="http://schemas.openxmlformats.org/package/2006/metadata/core-properties" xmlns:dc="http://purl.org/dc/elements/1.1/" xmlns:dcterms="http://purl.org/dc/terms/" xmlns:xsi="http://www.w3.org/2001/XMLSchema-instance">
  <dc:title>免于核查输出国家或地区官方动物检疫证书的清单</dc:title>
  <dc:creator>sfhwxl</dc:creator>
  <cp:lastModifiedBy>谢明元</cp:lastModifiedBy>
  <cp:revision>7</cp:revision>
  <cp:lastPrinted>2026-07-29T09:53:41Z</cp:lastPrinted>
  <dcterms:created xsi:type="dcterms:W3CDTF">2018-05-30T02:37:00Z</dcterms:created>
  <dcterms:modified xsi:type="dcterms:W3CDTF">2026-07-29T10:17:22Z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2052-9.1.0.4569</vt:lpwstr>
  </property>
</Properties>
</file>