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方正黑体_GBK" w:hAnsi="方正黑体_GBK" w:eastAsia="方正黑体_GBK" w:cs="方正黑体_GBK"/>
          <w:b w:val="0"/>
          <w:bCs w:val="0"/>
          <w:color w:val="000000"/>
          <w:kern w:val="0"/>
        </w:rPr>
      </w:pPr>
      <w:r>
        <w:rPr>
          <w:rFonts w:hint="eastAsia" w:ascii="方正黑体_GBK" w:hAnsi="方正黑体_GBK" w:eastAsia="方正黑体_GBK" w:cs="方正黑体_GBK"/>
          <w:b w:val="0"/>
          <w:bCs w:val="0"/>
          <w:color w:val="000000"/>
          <w:kern w:val="0"/>
        </w:rPr>
        <w:t>附件</w:t>
      </w:r>
      <w:r>
        <w:rPr>
          <w:rFonts w:hint="eastAsia" w:ascii="方正黑体_GBK" w:hAnsi="方正黑体_GBK" w:eastAsia="方正黑体_GBK" w:cs="方正黑体_GBK"/>
          <w:b w:val="0"/>
          <w:bCs w:val="0"/>
          <w:color w:val="000000"/>
          <w:kern w:val="0"/>
          <w:lang w:val="en-US" w:eastAsia="zh-CN"/>
        </w:rPr>
        <w:t>7</w:t>
      </w:r>
      <w:bookmarkStart w:id="0" w:name="_GoBack"/>
      <w:bookmarkEnd w:id="0"/>
    </w:p>
    <w:p>
      <w:pPr>
        <w:ind w:firstLine="280" w:firstLineChars="100"/>
        <w:jc w:val="center"/>
        <w:rPr>
          <w:rFonts w:hint="eastAsia" w:ascii="方正小标宋_GBK" w:hAnsi="方正小标宋_GBK" w:eastAsia="方正小标宋_GBK" w:cs="方正小标宋_GBK"/>
          <w:b w:val="0"/>
          <w:bCs w:val="0"/>
          <w:color w:val="000000"/>
          <w:kern w:val="0"/>
          <w:sz w:val="44"/>
          <w:szCs w:val="44"/>
        </w:rPr>
      </w:pPr>
      <w:r>
        <w:rPr>
          <w:rFonts w:hint="eastAsia" w:ascii="方正小标宋_GBK" w:hAnsi="方正小标宋_GBK" w:eastAsia="方正小标宋_GBK" w:cs="方正小标宋_GBK"/>
          <w:b w:val="0"/>
          <w:bCs w:val="0"/>
          <w:color w:val="000000"/>
          <w:kern w:val="0"/>
          <w:sz w:val="44"/>
          <w:szCs w:val="44"/>
        </w:rPr>
        <w:t>工贸行业有限空间作业条件确认执法检查表</w:t>
      </w:r>
    </w:p>
    <w:p>
      <w:pPr>
        <w:ind w:firstLine="280" w:firstLineChars="100"/>
        <w:rPr>
          <w:rFonts w:hint="eastAsia" w:ascii="方正楷体_GBK" w:hAnsi="方正楷体_GBK" w:eastAsia="方正楷体_GBK" w:cs="方正楷体_GBK"/>
          <w:b w:val="0"/>
          <w:bCs w:val="0"/>
          <w:color w:val="000000"/>
          <w:sz w:val="28"/>
          <w:szCs w:val="32"/>
        </w:rPr>
      </w:pPr>
      <w:r>
        <w:rPr>
          <w:rFonts w:hint="eastAsia" w:ascii="方正楷体_GBK" w:hAnsi="方正楷体_GBK" w:eastAsia="方正楷体_GBK" w:cs="方正楷体_GBK"/>
          <w:b w:val="0"/>
          <w:bCs w:val="0"/>
          <w:color w:val="000000"/>
          <w:sz w:val="28"/>
          <w:szCs w:val="32"/>
        </w:rPr>
        <w:t>执法检查单位（盖章）：</w:t>
      </w:r>
      <w:r>
        <w:rPr>
          <w:rFonts w:hint="eastAsia" w:ascii="方正楷体_GBK" w:hAnsi="方正楷体_GBK" w:eastAsia="方正楷体_GBK" w:cs="方正楷体_GBK"/>
          <w:b w:val="0"/>
          <w:bCs w:val="0"/>
          <w:color w:val="000000"/>
          <w:sz w:val="28"/>
          <w:szCs w:val="32"/>
          <w:u w:val="single"/>
        </w:rPr>
        <w:t xml:space="preserve">                     </w:t>
      </w:r>
      <w:r>
        <w:rPr>
          <w:rFonts w:hint="eastAsia" w:ascii="方正楷体_GBK" w:hAnsi="方正楷体_GBK" w:eastAsia="方正楷体_GBK" w:cs="方正楷体_GBK"/>
          <w:b w:val="0"/>
          <w:bCs w:val="0"/>
          <w:color w:val="000000"/>
          <w:sz w:val="28"/>
          <w:szCs w:val="32"/>
        </w:rPr>
        <w:t>检查人员：</w:t>
      </w:r>
      <w:r>
        <w:rPr>
          <w:rFonts w:hint="eastAsia" w:ascii="方正楷体_GBK" w:hAnsi="方正楷体_GBK" w:eastAsia="方正楷体_GBK" w:cs="方正楷体_GBK"/>
          <w:b w:val="0"/>
          <w:bCs w:val="0"/>
          <w:color w:val="000000"/>
          <w:sz w:val="28"/>
          <w:szCs w:val="32"/>
          <w:u w:val="single"/>
        </w:rPr>
        <w:t xml:space="preserve">                 </w:t>
      </w:r>
      <w:r>
        <w:rPr>
          <w:rFonts w:hint="eastAsia" w:ascii="方正楷体_GBK" w:hAnsi="方正楷体_GBK" w:eastAsia="方正楷体_GBK" w:cs="方正楷体_GBK"/>
          <w:b w:val="0"/>
          <w:bCs w:val="0"/>
          <w:color w:val="000000"/>
          <w:sz w:val="28"/>
          <w:szCs w:val="32"/>
        </w:rPr>
        <w:t>检查日期：</w:t>
      </w:r>
      <w:r>
        <w:rPr>
          <w:rFonts w:hint="eastAsia" w:ascii="方正楷体_GBK" w:hAnsi="方正楷体_GBK" w:eastAsia="方正楷体_GBK" w:cs="方正楷体_GBK"/>
          <w:b w:val="0"/>
          <w:bCs w:val="0"/>
          <w:color w:val="000000"/>
          <w:sz w:val="28"/>
          <w:szCs w:val="32"/>
          <w:u w:val="single"/>
        </w:rPr>
        <w:t xml:space="preserve">      </w:t>
      </w:r>
      <w:r>
        <w:rPr>
          <w:rFonts w:hint="eastAsia" w:ascii="方正楷体_GBK" w:hAnsi="方正楷体_GBK" w:eastAsia="方正楷体_GBK" w:cs="方正楷体_GBK"/>
          <w:b w:val="0"/>
          <w:bCs w:val="0"/>
          <w:color w:val="000000"/>
          <w:sz w:val="28"/>
          <w:szCs w:val="32"/>
        </w:rPr>
        <w:t>年</w:t>
      </w:r>
      <w:r>
        <w:rPr>
          <w:rFonts w:hint="eastAsia" w:ascii="方正楷体_GBK" w:hAnsi="方正楷体_GBK" w:eastAsia="方正楷体_GBK" w:cs="方正楷体_GBK"/>
          <w:b w:val="0"/>
          <w:bCs w:val="0"/>
          <w:color w:val="000000"/>
          <w:sz w:val="28"/>
          <w:szCs w:val="32"/>
          <w:u w:val="single"/>
        </w:rPr>
        <w:t xml:space="preserve">   </w:t>
      </w:r>
      <w:r>
        <w:rPr>
          <w:rFonts w:hint="eastAsia" w:ascii="方正楷体_GBK" w:hAnsi="方正楷体_GBK" w:eastAsia="方正楷体_GBK" w:cs="方正楷体_GBK"/>
          <w:b w:val="0"/>
          <w:bCs w:val="0"/>
          <w:color w:val="000000"/>
          <w:sz w:val="28"/>
          <w:szCs w:val="32"/>
        </w:rPr>
        <w:t>月</w:t>
      </w:r>
      <w:r>
        <w:rPr>
          <w:rFonts w:hint="eastAsia" w:ascii="方正楷体_GBK" w:hAnsi="方正楷体_GBK" w:eastAsia="方正楷体_GBK" w:cs="方正楷体_GBK"/>
          <w:b w:val="0"/>
          <w:bCs w:val="0"/>
          <w:color w:val="000000"/>
          <w:sz w:val="28"/>
          <w:szCs w:val="32"/>
          <w:u w:val="single"/>
        </w:rPr>
        <w:t xml:space="preserve">   </w:t>
      </w:r>
      <w:r>
        <w:rPr>
          <w:rFonts w:hint="eastAsia" w:ascii="方正楷体_GBK" w:hAnsi="方正楷体_GBK" w:eastAsia="方正楷体_GBK" w:cs="方正楷体_GBK"/>
          <w:b w:val="0"/>
          <w:bCs w:val="0"/>
          <w:color w:val="000000"/>
          <w:sz w:val="28"/>
          <w:szCs w:val="32"/>
        </w:rPr>
        <w:t>日</w:t>
      </w:r>
    </w:p>
    <w:tbl>
      <w:tblPr>
        <w:tblStyle w:val="5"/>
        <w:tblW w:w="147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9"/>
        <w:gridCol w:w="3495"/>
        <w:gridCol w:w="7409"/>
        <w:gridCol w:w="29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2" w:hRule="atLeast"/>
        </w:trPr>
        <w:tc>
          <w:tcPr>
            <w:tcW w:w="14700" w:type="dxa"/>
            <w:gridSpan w:val="4"/>
            <w:vAlign w:val="center"/>
          </w:tcPr>
          <w:p>
            <w:pPr>
              <w:snapToGrid w:val="0"/>
              <w:ind w:firstLine="560" w:firstLineChars="200"/>
              <w:rPr>
                <w:rFonts w:hint="eastAsia" w:ascii="方正仿宋_GBK" w:hAnsi="方正仿宋_GBK" w:cs="方正仿宋_GBK"/>
                <w:b w:val="0"/>
                <w:bCs w:val="0"/>
                <w:color w:val="000000"/>
                <w:sz w:val="28"/>
                <w:szCs w:val="32"/>
              </w:rPr>
            </w:pPr>
            <w:r>
              <w:rPr>
                <w:rFonts w:hint="eastAsia" w:ascii="方正仿宋_GBK" w:hAnsi="方正仿宋_GBK" w:cs="方正仿宋_GBK"/>
                <w:b w:val="0"/>
                <w:bCs w:val="0"/>
                <w:color w:val="000000"/>
                <w:sz w:val="28"/>
                <w:szCs w:val="32"/>
              </w:rPr>
              <w:t>企业名称（地址）：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18" w:hRule="atLeast"/>
        </w:trPr>
        <w:tc>
          <w:tcPr>
            <w:tcW w:w="849" w:type="dxa"/>
            <w:vAlign w:val="center"/>
          </w:tcPr>
          <w:p>
            <w:pPr>
              <w:snapToGrid w:val="0"/>
              <w:jc w:val="center"/>
              <w:rPr>
                <w:rFonts w:hint="eastAsia" w:ascii="方正黑体_GBK" w:hAnsi="方正黑体_GBK" w:eastAsia="方正黑体_GBK" w:cs="方正黑体_GBK"/>
                <w:b w:val="0"/>
                <w:bCs w:val="0"/>
                <w:color w:val="000000"/>
                <w:sz w:val="28"/>
                <w:szCs w:val="32"/>
              </w:rPr>
            </w:pPr>
            <w:r>
              <w:rPr>
                <w:rFonts w:hint="eastAsia" w:ascii="方正黑体_GBK" w:hAnsi="方正黑体_GBK" w:eastAsia="方正黑体_GBK" w:cs="方正黑体_GBK"/>
                <w:b w:val="0"/>
                <w:bCs w:val="0"/>
                <w:color w:val="000000"/>
                <w:sz w:val="28"/>
                <w:szCs w:val="32"/>
              </w:rPr>
              <w:t>序号</w:t>
            </w:r>
          </w:p>
        </w:tc>
        <w:tc>
          <w:tcPr>
            <w:tcW w:w="3495" w:type="dxa"/>
            <w:vAlign w:val="center"/>
          </w:tcPr>
          <w:p>
            <w:pPr>
              <w:snapToGrid w:val="0"/>
              <w:ind w:firstLine="560" w:firstLineChars="200"/>
              <w:jc w:val="center"/>
              <w:rPr>
                <w:rFonts w:hint="eastAsia" w:ascii="方正黑体_GBK" w:hAnsi="方正黑体_GBK" w:eastAsia="方正黑体_GBK" w:cs="方正黑体_GBK"/>
                <w:b w:val="0"/>
                <w:bCs w:val="0"/>
                <w:color w:val="000000"/>
                <w:sz w:val="28"/>
                <w:szCs w:val="32"/>
              </w:rPr>
            </w:pPr>
            <w:r>
              <w:rPr>
                <w:rFonts w:hint="eastAsia" w:ascii="方正黑体_GBK" w:hAnsi="方正黑体_GBK" w:eastAsia="方正黑体_GBK" w:cs="方正黑体_GBK"/>
                <w:b w:val="0"/>
                <w:bCs w:val="0"/>
                <w:color w:val="000000"/>
                <w:sz w:val="28"/>
                <w:szCs w:val="32"/>
              </w:rPr>
              <w:t>检查项目</w:t>
            </w:r>
          </w:p>
        </w:tc>
        <w:tc>
          <w:tcPr>
            <w:tcW w:w="7409" w:type="dxa"/>
            <w:vAlign w:val="center"/>
          </w:tcPr>
          <w:p>
            <w:pPr>
              <w:snapToGrid w:val="0"/>
              <w:ind w:firstLine="560" w:firstLineChars="200"/>
              <w:jc w:val="center"/>
              <w:rPr>
                <w:rFonts w:hint="eastAsia" w:ascii="方正黑体_GBK" w:hAnsi="方正黑体_GBK" w:eastAsia="方正黑体_GBK" w:cs="方正黑体_GBK"/>
                <w:b w:val="0"/>
                <w:bCs w:val="0"/>
                <w:color w:val="000000"/>
                <w:sz w:val="28"/>
                <w:szCs w:val="32"/>
              </w:rPr>
            </w:pPr>
            <w:r>
              <w:rPr>
                <w:rFonts w:hint="eastAsia" w:ascii="方正黑体_GBK" w:hAnsi="方正黑体_GBK" w:eastAsia="方正黑体_GBK" w:cs="方正黑体_GBK"/>
                <w:b w:val="0"/>
                <w:bCs w:val="0"/>
                <w:color w:val="000000"/>
                <w:sz w:val="28"/>
                <w:szCs w:val="32"/>
              </w:rPr>
              <w:t>执法依据</w:t>
            </w:r>
          </w:p>
        </w:tc>
        <w:tc>
          <w:tcPr>
            <w:tcW w:w="2947" w:type="dxa"/>
            <w:vAlign w:val="center"/>
          </w:tcPr>
          <w:p>
            <w:pPr>
              <w:snapToGrid w:val="0"/>
              <w:ind w:firstLine="560" w:firstLineChars="200"/>
              <w:jc w:val="center"/>
              <w:rPr>
                <w:rFonts w:hint="eastAsia" w:ascii="方正黑体_GBK" w:hAnsi="方正黑体_GBK" w:eastAsia="方正黑体_GBK" w:cs="方正黑体_GBK"/>
                <w:b w:val="0"/>
                <w:bCs w:val="0"/>
                <w:color w:val="000000"/>
                <w:sz w:val="28"/>
                <w:szCs w:val="32"/>
              </w:rPr>
            </w:pPr>
            <w:r>
              <w:rPr>
                <w:rFonts w:hint="eastAsia" w:ascii="方正黑体_GBK" w:hAnsi="方正黑体_GBK" w:eastAsia="方正黑体_GBK" w:cs="方正黑体_GBK"/>
                <w:b w:val="0"/>
                <w:bCs w:val="0"/>
                <w:color w:val="000000"/>
                <w:sz w:val="28"/>
                <w:szCs w:val="32"/>
              </w:rPr>
              <w:t>执法情况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93" w:hRule="atLeast"/>
        </w:trPr>
        <w:tc>
          <w:tcPr>
            <w:tcW w:w="849" w:type="dxa"/>
            <w:vAlign w:val="center"/>
          </w:tcPr>
          <w:p>
            <w:pPr>
              <w:snapToGrid w:val="0"/>
              <w:jc w:val="center"/>
              <w:rPr>
                <w:rFonts w:hint="eastAsia" w:ascii="方正仿宋_GBK" w:hAnsi="方正仿宋_GBK" w:cs="方正仿宋_GBK"/>
                <w:b w:val="0"/>
                <w:bCs w:val="0"/>
                <w:color w:val="000000"/>
                <w:szCs w:val="32"/>
              </w:rPr>
            </w:pPr>
            <w:r>
              <w:rPr>
                <w:rFonts w:hint="eastAsia" w:ascii="方正仿宋_GBK" w:hAnsi="方正仿宋_GBK" w:cs="方正仿宋_GBK"/>
                <w:b w:val="0"/>
                <w:bCs w:val="0"/>
                <w:color w:val="000000"/>
                <w:szCs w:val="32"/>
              </w:rPr>
              <w:t>1</w:t>
            </w:r>
          </w:p>
        </w:tc>
        <w:tc>
          <w:tcPr>
            <w:tcW w:w="3495" w:type="dxa"/>
            <w:vAlign w:val="center"/>
          </w:tcPr>
          <w:p>
            <w:pPr>
              <w:widowControl/>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工贸企业应当对本企业的有限空间进行辨识，建立有限空间管理台账。</w:t>
            </w:r>
          </w:p>
        </w:tc>
        <w:tc>
          <w:tcPr>
            <w:tcW w:w="7409" w:type="dxa"/>
            <w:vAlign w:val="center"/>
          </w:tcPr>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《工贸企业有限空间作业安全管理与监督暂行规定》第三十条 工贸企业有下列情形之一的，由县级以上安全生产监督管理部门责令限期改正，可以处3万元以下的罚款，对其直接负责的主管人员和其他直接责任人员处1万元以下的罚款：</w:t>
            </w:r>
          </w:p>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（一）未按照本规定对有限空间作业进行辨识、提出防范措施、建立有限空间管理台账的；……</w:t>
            </w:r>
          </w:p>
        </w:tc>
        <w:tc>
          <w:tcPr>
            <w:tcW w:w="2947" w:type="dxa"/>
            <w:vAlign w:val="top"/>
          </w:tcPr>
          <w:p>
            <w:pPr>
              <w:snapToGrid w:val="0"/>
              <w:ind w:firstLine="640" w:firstLineChars="200"/>
              <w:jc w:val="center"/>
              <w:rPr>
                <w:rFonts w:hint="eastAsia" w:ascii="方正仿宋_GBK" w:hAnsi="方正仿宋_GBK" w:cs="方正仿宋_GBK"/>
                <w:b w:val="0"/>
                <w:bCs w:val="0"/>
                <w:color w:val="000000"/>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79" w:hRule="atLeast"/>
        </w:trPr>
        <w:tc>
          <w:tcPr>
            <w:tcW w:w="849" w:type="dxa"/>
            <w:vAlign w:val="center"/>
          </w:tcPr>
          <w:p>
            <w:pPr>
              <w:snapToGrid w:val="0"/>
              <w:jc w:val="center"/>
              <w:rPr>
                <w:rFonts w:hint="eastAsia" w:ascii="方正仿宋_GBK" w:hAnsi="方正仿宋_GBK" w:cs="方正仿宋_GBK"/>
                <w:b w:val="0"/>
                <w:bCs w:val="0"/>
                <w:color w:val="000000"/>
                <w:szCs w:val="32"/>
              </w:rPr>
            </w:pPr>
            <w:r>
              <w:rPr>
                <w:rFonts w:hint="eastAsia" w:ascii="方正仿宋_GBK" w:hAnsi="方正仿宋_GBK" w:cs="方正仿宋_GBK"/>
                <w:b w:val="0"/>
                <w:bCs w:val="0"/>
                <w:color w:val="000000"/>
                <w:szCs w:val="32"/>
              </w:rPr>
              <w:t>2</w:t>
            </w:r>
          </w:p>
        </w:tc>
        <w:tc>
          <w:tcPr>
            <w:tcW w:w="3495" w:type="dxa"/>
            <w:vAlign w:val="center"/>
          </w:tcPr>
          <w:p>
            <w:pPr>
              <w:widowControl/>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工贸企业应当执行有限空间作业审批制度。</w:t>
            </w:r>
          </w:p>
        </w:tc>
        <w:tc>
          <w:tcPr>
            <w:tcW w:w="7409" w:type="dxa"/>
            <w:vAlign w:val="top"/>
          </w:tcPr>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《工贸企业有限空间作业安全管理与监督暂行规定》第三十条 工贸企业有下列情形之一的，由县级以上安全生产监督管理部门责令限期改正，可以处3万元以下的罚款，对其直接负责的主管人员和其他直接责任人员处1万元以下的罚款：</w:t>
            </w:r>
          </w:p>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（二）未按照本规定对有限空间作业制定作业方案或者方案未经审批擅自作业的；……</w:t>
            </w:r>
          </w:p>
        </w:tc>
        <w:tc>
          <w:tcPr>
            <w:tcW w:w="2947" w:type="dxa"/>
            <w:vAlign w:val="top"/>
          </w:tcPr>
          <w:p>
            <w:pPr>
              <w:snapToGrid w:val="0"/>
              <w:ind w:firstLine="640" w:firstLineChars="200"/>
              <w:jc w:val="center"/>
              <w:rPr>
                <w:rFonts w:hint="eastAsia" w:ascii="方正仿宋_GBK" w:hAnsi="方正仿宋_GBK" w:cs="方正仿宋_GBK"/>
                <w:b w:val="0"/>
                <w:bCs w:val="0"/>
                <w:color w:val="000000"/>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849" w:type="dxa"/>
            <w:vAlign w:val="center"/>
          </w:tcPr>
          <w:p>
            <w:pPr>
              <w:snapToGrid w:val="0"/>
              <w:jc w:val="center"/>
              <w:rPr>
                <w:rFonts w:hint="eastAsia" w:ascii="方正仿宋_GBK" w:hAnsi="方正仿宋_GBK" w:cs="方正仿宋_GBK"/>
                <w:b w:val="0"/>
                <w:bCs w:val="0"/>
                <w:color w:val="000000"/>
                <w:szCs w:val="32"/>
              </w:rPr>
            </w:pPr>
            <w:r>
              <w:rPr>
                <w:rFonts w:hint="eastAsia" w:ascii="方正仿宋_GBK" w:hAnsi="方正仿宋_GBK" w:cs="方正仿宋_GBK"/>
                <w:b w:val="0"/>
                <w:bCs w:val="0"/>
                <w:color w:val="000000"/>
                <w:szCs w:val="32"/>
              </w:rPr>
              <w:t>3</w:t>
            </w:r>
          </w:p>
        </w:tc>
        <w:tc>
          <w:tcPr>
            <w:tcW w:w="3495" w:type="dxa"/>
            <w:vAlign w:val="center"/>
          </w:tcPr>
          <w:p>
            <w:pPr>
              <w:widowControl/>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工贸企业应当在有限空间作业场所设置安全警示标志。</w:t>
            </w:r>
          </w:p>
        </w:tc>
        <w:tc>
          <w:tcPr>
            <w:tcW w:w="7409" w:type="dxa"/>
            <w:vAlign w:val="top"/>
          </w:tcPr>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《工贸企业有限空间作业安全管理与监督暂行规定》第二十八条 工贸企业有下列行为之一的，由县级以上安全生产监督管理部门责令限期改正，可以处5万元以下的罚款；逾期未改正的，处5万元以上20万元以下的罚款，其直接负责的主管人员和其他直接责任人员处1万元以上2万元以下的罚款；情节严重的，责令停产停业整顿：</w:t>
            </w:r>
          </w:p>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（一）未在有限空间作业场所设置明显的安全警示标志的；……</w:t>
            </w:r>
          </w:p>
        </w:tc>
        <w:tc>
          <w:tcPr>
            <w:tcW w:w="2947" w:type="dxa"/>
            <w:vAlign w:val="top"/>
          </w:tcPr>
          <w:p>
            <w:pPr>
              <w:snapToGrid w:val="0"/>
              <w:ind w:firstLine="640" w:firstLineChars="200"/>
              <w:jc w:val="center"/>
              <w:rPr>
                <w:rFonts w:hint="eastAsia" w:ascii="方正仿宋_GBK" w:hAnsi="方正仿宋_GBK" w:cs="方正仿宋_GBK"/>
                <w:b w:val="0"/>
                <w:bCs w:val="0"/>
                <w:color w:val="000000"/>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1" w:hRule="atLeast"/>
        </w:trPr>
        <w:tc>
          <w:tcPr>
            <w:tcW w:w="849" w:type="dxa"/>
            <w:vAlign w:val="center"/>
          </w:tcPr>
          <w:p>
            <w:pPr>
              <w:snapToGrid w:val="0"/>
              <w:jc w:val="center"/>
              <w:rPr>
                <w:rFonts w:hint="eastAsia" w:ascii="方正仿宋_GBK" w:hAnsi="方正仿宋_GBK" w:cs="方正仿宋_GBK"/>
                <w:b w:val="0"/>
                <w:bCs w:val="0"/>
                <w:color w:val="000000"/>
                <w:szCs w:val="32"/>
              </w:rPr>
            </w:pPr>
            <w:r>
              <w:rPr>
                <w:rFonts w:hint="eastAsia" w:ascii="方正仿宋_GBK" w:hAnsi="方正仿宋_GBK" w:cs="方正仿宋_GBK"/>
                <w:b w:val="0"/>
                <w:bCs w:val="0"/>
                <w:color w:val="000000"/>
                <w:szCs w:val="32"/>
              </w:rPr>
              <w:t>4</w:t>
            </w:r>
          </w:p>
        </w:tc>
        <w:tc>
          <w:tcPr>
            <w:tcW w:w="3495" w:type="dxa"/>
            <w:vAlign w:val="center"/>
          </w:tcPr>
          <w:p>
            <w:pPr>
              <w:widowControl/>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工贸企业应当对从事有限空间作业的人员进行安全培训。</w:t>
            </w:r>
          </w:p>
        </w:tc>
        <w:tc>
          <w:tcPr>
            <w:tcW w:w="7409" w:type="dxa"/>
            <w:vAlign w:val="center"/>
          </w:tcPr>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《工贸企业有限空间作业安全管理与监督暂行规定》第二十九条 工贸企业有下列情形之一的，由县级以上安全生产监督管理部门责令限期改正，可以处5万元以下的罚款；逾期未改正的，责令停产停业整顿，并处5万元以上10万元以下的罚款，对其直接负责的主管人员和其他直接责任人员处1万元以上2万元以下的罚款：</w:t>
            </w:r>
          </w:p>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（一）未按照本规定对有限空间的现场负责人、监护人员、作业人员和应急救援人员进行安全培训的；……</w:t>
            </w:r>
          </w:p>
        </w:tc>
        <w:tc>
          <w:tcPr>
            <w:tcW w:w="2947" w:type="dxa"/>
            <w:vAlign w:val="top"/>
          </w:tcPr>
          <w:p>
            <w:pPr>
              <w:snapToGrid w:val="0"/>
              <w:ind w:firstLine="640" w:firstLineChars="200"/>
              <w:jc w:val="center"/>
              <w:rPr>
                <w:rFonts w:hint="eastAsia" w:ascii="方正仿宋_GBK" w:hAnsi="方正仿宋_GBK" w:cs="方正仿宋_GBK"/>
                <w:b w:val="0"/>
                <w:bCs w:val="0"/>
                <w:color w:val="000000"/>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849" w:type="dxa"/>
            <w:vAlign w:val="center"/>
          </w:tcPr>
          <w:p>
            <w:pPr>
              <w:snapToGrid w:val="0"/>
              <w:jc w:val="center"/>
              <w:rPr>
                <w:rFonts w:hint="eastAsia" w:ascii="方正仿宋_GBK" w:hAnsi="方正仿宋_GBK" w:cs="方正仿宋_GBK"/>
                <w:b w:val="0"/>
                <w:bCs w:val="0"/>
                <w:color w:val="000000"/>
                <w:szCs w:val="32"/>
              </w:rPr>
            </w:pPr>
            <w:r>
              <w:rPr>
                <w:rFonts w:hint="eastAsia" w:ascii="方正仿宋_GBK" w:hAnsi="方正仿宋_GBK" w:cs="方正仿宋_GBK"/>
                <w:b w:val="0"/>
                <w:bCs w:val="0"/>
                <w:color w:val="000000"/>
                <w:szCs w:val="32"/>
              </w:rPr>
              <w:t>5</w:t>
            </w:r>
          </w:p>
        </w:tc>
        <w:tc>
          <w:tcPr>
            <w:tcW w:w="3495" w:type="dxa"/>
            <w:vAlign w:val="center"/>
          </w:tcPr>
          <w:p>
            <w:pPr>
              <w:widowControl/>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工贸企业应当根据有限空间存在危险有害因素的种类和危害程度，为作业人员提供符合国家标准或者行业标准规定的劳动防护用品。</w:t>
            </w:r>
          </w:p>
        </w:tc>
        <w:tc>
          <w:tcPr>
            <w:tcW w:w="7409" w:type="dxa"/>
            <w:vAlign w:val="center"/>
          </w:tcPr>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《工贸企业有限空间作业安全管理与监督暂行规定》第二十八条 工贸企业有下列行为之一的，由县级以上安全生产监督管理部门责令限期改正，可以处5万元以下的罚款；逾期未改正的，处5万元以上20万元以下的罚款，其直接负责的主管人员和其他直接责任人员处1万元以上2万元以下的罚款；情节严重的，责令停产停业整顿：</w:t>
            </w:r>
          </w:p>
          <w:p>
            <w:pPr>
              <w:snapToGrid w:val="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 xml:space="preserve">    （二）未按照本规定为作业人员提供符合国家标准或者行业标准的劳动防护用品的。</w:t>
            </w:r>
          </w:p>
        </w:tc>
        <w:tc>
          <w:tcPr>
            <w:tcW w:w="2947" w:type="dxa"/>
            <w:vAlign w:val="top"/>
          </w:tcPr>
          <w:p>
            <w:pPr>
              <w:snapToGrid w:val="0"/>
              <w:ind w:firstLine="640" w:firstLineChars="200"/>
              <w:jc w:val="center"/>
              <w:rPr>
                <w:rFonts w:hint="eastAsia" w:ascii="方正仿宋_GBK" w:hAnsi="方正仿宋_GBK" w:cs="方正仿宋_GBK"/>
                <w:b w:val="0"/>
                <w:bCs w:val="0"/>
                <w:color w:val="000000"/>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1" w:hRule="atLeast"/>
        </w:trPr>
        <w:tc>
          <w:tcPr>
            <w:tcW w:w="849" w:type="dxa"/>
            <w:vAlign w:val="center"/>
          </w:tcPr>
          <w:p>
            <w:pPr>
              <w:snapToGrid w:val="0"/>
              <w:jc w:val="center"/>
              <w:rPr>
                <w:rFonts w:hint="eastAsia" w:ascii="方正仿宋_GBK" w:hAnsi="方正仿宋_GBK" w:cs="方正仿宋_GBK"/>
                <w:b w:val="0"/>
                <w:bCs w:val="0"/>
                <w:color w:val="000000"/>
                <w:szCs w:val="32"/>
              </w:rPr>
            </w:pPr>
            <w:r>
              <w:rPr>
                <w:rFonts w:hint="eastAsia" w:ascii="方正仿宋_GBK" w:hAnsi="方正仿宋_GBK" w:cs="方正仿宋_GBK"/>
                <w:b w:val="0"/>
                <w:bCs w:val="0"/>
                <w:color w:val="000000"/>
                <w:szCs w:val="32"/>
              </w:rPr>
              <w:t>6</w:t>
            </w:r>
          </w:p>
        </w:tc>
        <w:tc>
          <w:tcPr>
            <w:tcW w:w="3495" w:type="dxa"/>
            <w:vAlign w:val="center"/>
          </w:tcPr>
          <w:p>
            <w:pPr>
              <w:widowControl/>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工贸企业应当根据本企业有限空间作业的特点，制定应急预案，并定期进行演练。</w:t>
            </w:r>
          </w:p>
        </w:tc>
        <w:tc>
          <w:tcPr>
            <w:tcW w:w="7409" w:type="dxa"/>
            <w:vAlign w:val="center"/>
          </w:tcPr>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《工贸企业有限空间作业安全管理与监督暂行规定》第二十九条 工贸企业有下列情形之一的，由县级以上安全生产监督管理部门责令限期改正，可以处5万元以下的罚款；逾期未改正的，责令停产停业整顿，并处5万元以上10万元以下的罚款，对其直接负责的主管人员和其他直接责任人员处1万元以上2万元以下的罚款：</w:t>
            </w:r>
          </w:p>
          <w:p>
            <w:pPr>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（二）未按照本规定对有限空间作业制定应急预案，或者定期进行演练的。</w:t>
            </w:r>
          </w:p>
        </w:tc>
        <w:tc>
          <w:tcPr>
            <w:tcW w:w="2947" w:type="dxa"/>
            <w:vAlign w:val="top"/>
          </w:tcPr>
          <w:p>
            <w:pPr>
              <w:snapToGrid w:val="0"/>
              <w:ind w:firstLine="640" w:firstLineChars="200"/>
              <w:jc w:val="center"/>
              <w:rPr>
                <w:rFonts w:hint="eastAsia" w:ascii="方正仿宋_GBK" w:hAnsi="方正仿宋_GBK" w:cs="方正仿宋_GBK"/>
                <w:b w:val="0"/>
                <w:bCs w:val="0"/>
                <w:color w:val="000000"/>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38" w:hRule="atLeast"/>
        </w:trPr>
        <w:tc>
          <w:tcPr>
            <w:tcW w:w="849" w:type="dxa"/>
            <w:vAlign w:val="center"/>
          </w:tcPr>
          <w:p>
            <w:pPr>
              <w:snapToGrid w:val="0"/>
              <w:jc w:val="center"/>
              <w:rPr>
                <w:rFonts w:hint="eastAsia" w:ascii="方正仿宋_GBK" w:hAnsi="方正仿宋_GBK" w:cs="方正仿宋_GBK"/>
                <w:b w:val="0"/>
                <w:bCs w:val="0"/>
                <w:color w:val="000000"/>
                <w:szCs w:val="32"/>
              </w:rPr>
            </w:pPr>
            <w:r>
              <w:rPr>
                <w:rFonts w:hint="eastAsia" w:ascii="方正仿宋_GBK" w:hAnsi="方正仿宋_GBK" w:cs="方正仿宋_GBK"/>
                <w:b w:val="0"/>
                <w:bCs w:val="0"/>
                <w:color w:val="000000"/>
                <w:szCs w:val="32"/>
              </w:rPr>
              <w:t>7</w:t>
            </w:r>
          </w:p>
        </w:tc>
        <w:tc>
          <w:tcPr>
            <w:tcW w:w="3495" w:type="dxa"/>
            <w:vAlign w:val="center"/>
          </w:tcPr>
          <w:p>
            <w:pPr>
              <w:widowControl/>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工贸企业将有限空间作业发包给其他单位实施的，应当发包给具备国家规定资质或者安全生产条件的承包方，并与承包方签订专门的安全生产管理协议或者在承包合同中明确各自的安全生产职责。</w:t>
            </w:r>
          </w:p>
        </w:tc>
        <w:tc>
          <w:tcPr>
            <w:tcW w:w="7409" w:type="dxa"/>
            <w:vAlign w:val="center"/>
          </w:tcPr>
          <w:p>
            <w:pPr>
              <w:widowControl/>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《安全生产法》第一百条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pPr>
              <w:widowControl/>
              <w:snapToGrid w:val="0"/>
              <w:ind w:firstLine="480" w:firstLineChars="200"/>
              <w:rPr>
                <w:rFonts w:hint="eastAsia" w:ascii="方正仿宋_GBK" w:hAnsi="方正仿宋_GBK" w:cs="方正仿宋_GBK"/>
                <w:b w:val="0"/>
                <w:bCs w:val="0"/>
                <w:color w:val="000000"/>
                <w:kern w:val="0"/>
                <w:sz w:val="24"/>
                <w:szCs w:val="24"/>
              </w:rPr>
            </w:pPr>
            <w:r>
              <w:rPr>
                <w:rFonts w:hint="eastAsia" w:ascii="方正仿宋_GBK" w:hAnsi="方正仿宋_GBK" w:cs="方正仿宋_GBK"/>
                <w:b w:val="0"/>
                <w:bCs w:val="0"/>
                <w:color w:val="000000"/>
                <w:kern w:val="0"/>
                <w:sz w:val="24"/>
                <w:szCs w:val="24"/>
              </w:rPr>
              <w:t>生产经营单位未与承包单位、承租单位签订专门的安全生产管理协议或者未在承包合同、租赁合同中明确各自的安全生产管理职责，或者未对承包单位、承租单位的安全生产统一协调、管理的，责令限期改正，可以处五万元以下的罚款，对其直接负责的主管人员和其他直接责任人员可以处一万元以下的罚款;逾期未改正的，责令停产停业整顿。</w:t>
            </w:r>
          </w:p>
        </w:tc>
        <w:tc>
          <w:tcPr>
            <w:tcW w:w="2947" w:type="dxa"/>
            <w:vAlign w:val="top"/>
          </w:tcPr>
          <w:p>
            <w:pPr>
              <w:snapToGrid w:val="0"/>
              <w:ind w:firstLine="640" w:firstLineChars="200"/>
              <w:jc w:val="center"/>
              <w:rPr>
                <w:rFonts w:hint="eastAsia" w:ascii="方正仿宋_GBK" w:hAnsi="方正仿宋_GBK" w:cs="方正仿宋_GBK"/>
                <w:b w:val="0"/>
                <w:bCs w:val="0"/>
                <w:color w:val="000000"/>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60" w:hRule="atLeast"/>
        </w:trPr>
        <w:tc>
          <w:tcPr>
            <w:tcW w:w="4344" w:type="dxa"/>
            <w:gridSpan w:val="2"/>
            <w:vAlign w:val="center"/>
          </w:tcPr>
          <w:p>
            <w:pPr>
              <w:snapToGrid w:val="0"/>
              <w:ind w:firstLine="480" w:firstLineChars="200"/>
              <w:jc w:val="left"/>
              <w:rPr>
                <w:rFonts w:hint="eastAsia" w:ascii="方正仿宋_GBK" w:hAnsi="方正仿宋_GBK" w:cs="方正仿宋_GBK"/>
                <w:b w:val="0"/>
                <w:bCs w:val="0"/>
                <w:color w:val="000000"/>
                <w:sz w:val="24"/>
                <w:szCs w:val="24"/>
              </w:rPr>
            </w:pPr>
            <w:r>
              <w:rPr>
                <w:rFonts w:hint="eastAsia" w:ascii="方正仿宋_GBK" w:hAnsi="方正仿宋_GBK" w:cs="方正仿宋_GBK"/>
                <w:b w:val="0"/>
                <w:bCs w:val="0"/>
                <w:color w:val="000000"/>
                <w:sz w:val="24"/>
                <w:szCs w:val="24"/>
              </w:rPr>
              <w:t>其他安全问题（可另附页）：</w:t>
            </w:r>
          </w:p>
        </w:tc>
        <w:tc>
          <w:tcPr>
            <w:tcW w:w="10356" w:type="dxa"/>
            <w:gridSpan w:val="2"/>
            <w:vAlign w:val="center"/>
          </w:tcPr>
          <w:p>
            <w:pPr>
              <w:snapToGrid w:val="0"/>
              <w:ind w:firstLine="480" w:firstLineChars="200"/>
              <w:jc w:val="left"/>
              <w:rPr>
                <w:rFonts w:hint="eastAsia" w:ascii="方正仿宋_GBK" w:hAnsi="方正仿宋_GBK" w:cs="方正仿宋_GBK"/>
                <w:b w:val="0"/>
                <w:bCs w:val="0"/>
                <w:color w:val="000000"/>
                <w:sz w:val="24"/>
                <w:szCs w:val="24"/>
              </w:rPr>
            </w:pPr>
          </w:p>
        </w:tc>
      </w:tr>
    </w:tbl>
    <w:p>
      <w:pPr>
        <w:snapToGrid w:val="0"/>
        <w:ind w:firstLine="560" w:firstLineChars="200"/>
        <w:jc w:val="left"/>
        <w:rPr>
          <w:rFonts w:hint="eastAsia" w:ascii="方正仿宋_GBK" w:hAnsi="方正仿宋_GBK" w:cs="方正仿宋_GBK"/>
          <w:b w:val="0"/>
          <w:bCs w:val="0"/>
          <w:color w:val="000000"/>
          <w:kern w:val="0"/>
          <w:sz w:val="28"/>
          <w:szCs w:val="28"/>
        </w:rPr>
      </w:pPr>
      <w:r>
        <w:rPr>
          <w:rFonts w:hint="eastAsia" w:ascii="方正仿宋_GBK" w:hAnsi="方正仿宋_GBK" w:cs="方正仿宋_GBK"/>
          <w:b w:val="0"/>
          <w:bCs w:val="0"/>
          <w:color w:val="000000"/>
          <w:sz w:val="28"/>
          <w:szCs w:val="28"/>
        </w:rPr>
        <w:t>注：本表的第1、2、3项检查项目，涉及重大生产安全事故隐患，如果检查时发现问题，请依照有关法律法规规定，严格执法。</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宋体 ! important">
    <w:altName w:val="宋体"/>
    <w:panose1 w:val="00000000000000000000"/>
    <w:charset w:val="00"/>
    <w:family w:val="auto"/>
    <w:pitch w:val="default"/>
    <w:sig w:usb0="00000000" w:usb1="00000000" w:usb2="00000000"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D53D8"/>
    <w:rsid w:val="20AD53D8"/>
    <w:rsid w:val="3472277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K"/>
      <w:kern w:val="2"/>
      <w:sz w:val="32"/>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2019-03-06T10:10:00Z</dcterms:created>
  <dc:creator>user</dc:creator>
  <cp:lastModifiedBy>user</cp:lastModifiedBy>
  <dcterms:modified xsi:type="dcterms:W3CDTF">2019-03-06T10:12:17Z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