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eastAsia="仿宋_GB2312"/>
          <w:szCs w:val="32"/>
        </w:rPr>
      </w:pPr>
      <w:r>
        <mc:AlternateContent>
          <mc:Choice Requires="wps">
            <w:drawing>
              <wp:anchor distT="0" distB="0" distL="113665" distR="113665" simplePos="0" relativeHeight="251659264" behindDoc="1" locked="1" layoutInCell="1" allowOverlap="1">
                <wp:simplePos x="0" y="0"/>
                <wp:positionH relativeFrom="column">
                  <wp:posOffset>-283845</wp:posOffset>
                </wp:positionH>
                <wp:positionV relativeFrom="page">
                  <wp:posOffset>4200525</wp:posOffset>
                </wp:positionV>
                <wp:extent cx="5864225" cy="219075"/>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5864225" cy="219075"/>
                        </a:xfrm>
                        <a:prstGeom prst="rect">
                          <a:avLst/>
                        </a:prstGeom>
                        <a:noFill/>
                        <a:ln>
                          <a:noFill/>
                        </a:ln>
                      </wps:spPr>
                      <wps:txbx>
                        <w:txbxContent>
                          <w:p>
                            <w:pPr>
                              <w:rPr>
                                <w:szCs w:val="98"/>
                              </w:rPr>
                            </w:pPr>
                          </w:p>
                        </w:txbxContent>
                      </wps:txbx>
                      <wps:bodyPr wrap="square" lIns="0" tIns="0" rIns="0" bIns="0" upright="true"/>
                    </wps:wsp>
                  </a:graphicData>
                </a:graphic>
              </wp:anchor>
            </w:drawing>
          </mc:Choice>
          <mc:Fallback>
            <w:pict>
              <v:shape id="文本框 2" o:spid="_x0000_s1026" o:spt="202" type="#_x0000_t202" style="position:absolute;left:0pt;margin-left:-22.35pt;margin-top:330.75pt;height:17.25pt;width:461.75pt;mso-position-vertical-relative:page;z-index:-251657216;mso-width-relative:page;mso-height-relative:page;" filled="f" stroked="f" coordsize="21600,21600" o:gfxdata="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BgqG7jaAAAACwEAAA8AAAAAAAAAAQAgAAAAOAAAAGRycy9kb3ducmV2&#10;LnhtbFBLAQIUABQAAAAIAIdO4kBEcXo9qwEAADgDAAAOAAAAAAAAAAEAIAAAAD8BAABkcnMvZTJv&#10;RG9jLnhtbFBLBQYAAAAABgAGAFkBAABcBQAAAAA=&#10;">
                <v:fill on="f" focussize="0,0"/>
                <v:stroke on="f"/>
                <v:imagedata o:title=""/>
                <o:lock v:ext="edit" aspectratio="f"/>
                <v:textbox inset="0mm,0mm,0mm,0mm">
                  <w:txbxContent>
                    <w:p>
                      <w:pPr>
                        <w:rPr>
                          <w:szCs w:val="98"/>
                        </w:rPr>
                      </w:pPr>
                    </w:p>
                  </w:txbxContent>
                </v:textbox>
                <w10:anchorlock/>
              </v:shape>
            </w:pict>
          </mc:Fallback>
        </mc:AlternateContent>
      </w:r>
    </w:p>
    <w:p>
      <w:pPr>
        <w:rPr>
          <w:rFonts w:hint="eastAsia" w:ascii="仿宋_GB2312" w:eastAsia="仿宋_GB2312"/>
          <w:sz w:val="24"/>
          <w:szCs w:val="24"/>
        </w:rPr>
      </w:pPr>
    </w:p>
    <w:p>
      <w:pPr>
        <w:rPr>
          <w:rFonts w:hint="eastAsia" w:ascii="仿宋_GB2312" w:eastAsia="仿宋_GB2312"/>
          <w:sz w:val="24"/>
          <w:szCs w:val="24"/>
        </w:rPr>
      </w:pPr>
    </w:p>
    <w:p>
      <w:pPr>
        <w:rPr>
          <w:rFonts w:hint="eastAsia" w:ascii="仿宋_GB2312" w:eastAsia="仿宋_GB2312"/>
          <w:szCs w:val="32"/>
        </w:rPr>
      </w:pPr>
    </w:p>
    <w:p>
      <w:pPr>
        <w:rPr>
          <w:rFonts w:hint="eastAsia" w:ascii="仿宋_GB2312" w:eastAsia="仿宋_GB2312"/>
          <w:szCs w:val="32"/>
        </w:rPr>
      </w:pPr>
      <w:r>
        <w:rPr>
          <w:rFonts w:hint="eastAsia" w:ascii="仿宋_GB2312" w:eastAsia="仿宋_GB2312"/>
          <w:szCs w:val="32"/>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ge">
                  <wp:posOffset>2617470</wp:posOffset>
                </wp:positionV>
                <wp:extent cx="5680075" cy="1040130"/>
                <wp:effectExtent l="0" t="0" r="0" b="0"/>
                <wp:wrapNone/>
                <wp:docPr id="3" name="SubjectText"/>
                <wp:cNvGraphicFramePr/>
                <a:graphic xmlns:a="http://schemas.openxmlformats.org/drawingml/2006/main">
                  <a:graphicData uri="http://schemas.microsoft.com/office/word/2010/wordprocessingShape">
                    <wps:wsp>
                      <wps:cNvSpPr txBox="true"/>
                      <wps:spPr>
                        <a:xfrm>
                          <a:off x="0" y="0"/>
                          <a:ext cx="5680075" cy="1040130"/>
                        </a:xfrm>
                        <a:prstGeom prst="rect">
                          <a:avLst/>
                        </a:prstGeom>
                        <a:noFill/>
                        <a:ln>
                          <a:noFill/>
                        </a:ln>
                      </wps:spPr>
                      <wps:txbx>
                        <w:txbxContent>
                          <w:p>
                            <w:pPr>
                              <w:tabs>
                                <w:tab w:val="left" w:pos="4431"/>
                              </w:tabs>
                              <w:adjustRightInd w:val="0"/>
                              <w:snapToGrid w:val="0"/>
                              <w:spacing w:line="1600" w:lineRule="exact"/>
                              <w:ind w:left="0" w:firstLine="0"/>
                              <w:jc w:val="distribute"/>
                              <w:rPr>
                                <w:rFonts w:hint="eastAsia" w:ascii="方正小标宋简体" w:eastAsia="方正小标宋简体"/>
                                <w:spacing w:val="-100"/>
                                <w:sz w:val="130"/>
                                <w:szCs w:val="130"/>
                              </w:rPr>
                            </w:pPr>
                            <w:r>
                              <w:rPr>
                                <w:rFonts w:hint="eastAsia" w:ascii="方正小标宋简体" w:eastAsia="方正小标宋简体"/>
                                <w:snapToGrid w:val="0"/>
                                <w:color w:val="FF0000"/>
                                <w:spacing w:val="1"/>
                                <w:w w:val="67"/>
                                <w:kern w:val="0"/>
                                <w:sz w:val="130"/>
                                <w:szCs w:val="130"/>
                                <w:fitText w:val="8775" w:id="7981"/>
                              </w:rPr>
                              <w:t>福建省生态环境厅文</w:t>
                            </w:r>
                            <w:r>
                              <w:rPr>
                                <w:rFonts w:hint="eastAsia" w:ascii="方正小标宋简体" w:eastAsia="方正小标宋简体"/>
                                <w:snapToGrid w:val="0"/>
                                <w:color w:val="FF0000"/>
                                <w:spacing w:val="62"/>
                                <w:w w:val="67"/>
                                <w:kern w:val="0"/>
                                <w:sz w:val="130"/>
                                <w:szCs w:val="130"/>
                                <w:fitText w:val="8775" w:id="7981"/>
                              </w:rPr>
                              <w:t>件</w:t>
                            </w:r>
                          </w:p>
                        </w:txbxContent>
                      </wps:txbx>
                      <wps:bodyPr wrap="square" lIns="0" tIns="0" rIns="0" bIns="0" upright="true"/>
                    </wps:wsp>
                  </a:graphicData>
                </a:graphic>
              </wp:anchor>
            </w:drawing>
          </mc:Choice>
          <mc:Fallback>
            <w:pict>
              <v:shape id="SubjectText" o:spid="_x0000_s1026" o:spt="202" type="#_x0000_t202" style="position:absolute;left:0pt;margin-left:-2.25pt;margin-top:206.1pt;height:81.9pt;width:447.25pt;mso-position-vertical-relative:page;z-index:251661312;mso-width-relative:page;mso-height-relative:page;" filled="f" stroked="f" coordsize="21600,21600" o:gfxdata="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FDGMn/aAAAACgEAAA8AAAAAAAAAAQAgAAAAOAAAAGRycy9kb3ducmV2LnhtbFBLAQIUABQA&#10;AAAIAIdO4kA0BheHnwEAADkDAAAOAAAAAAAAAAEAIAAAAD8BAABkcnMvZTJvRG9jLnhtbFBLBQYA&#10;AAAABgAGAFkBAABQBQAAAAA=&#10;">
                <v:fill on="f" focussize="0,0"/>
                <v:stroke on="f"/>
                <v:imagedata o:title=""/>
                <o:lock v:ext="edit" aspectratio="f"/>
                <v:textbox inset="0mm,0mm,0mm,0mm">
                  <w:txbxContent>
                    <w:p>
                      <w:pPr>
                        <w:tabs>
                          <w:tab w:val="left" w:pos="4431"/>
                        </w:tabs>
                        <w:adjustRightInd w:val="0"/>
                        <w:snapToGrid w:val="0"/>
                        <w:spacing w:line="1600" w:lineRule="exact"/>
                        <w:ind w:left="0" w:firstLine="0"/>
                        <w:jc w:val="distribute"/>
                        <w:rPr>
                          <w:rFonts w:hint="eastAsia" w:ascii="方正小标宋简体" w:eastAsia="方正小标宋简体"/>
                          <w:spacing w:val="-100"/>
                          <w:sz w:val="130"/>
                          <w:szCs w:val="130"/>
                        </w:rPr>
                      </w:pPr>
                      <w:r>
                        <w:rPr>
                          <w:rFonts w:hint="eastAsia" w:ascii="方正小标宋简体" w:eastAsia="方正小标宋简体"/>
                          <w:snapToGrid w:val="0"/>
                          <w:color w:val="FF0000"/>
                          <w:spacing w:val="1"/>
                          <w:w w:val="67"/>
                          <w:kern w:val="0"/>
                          <w:sz w:val="130"/>
                          <w:szCs w:val="130"/>
                          <w:fitText w:val="8775" w:id="7981"/>
                        </w:rPr>
                        <w:t>福建省生态环境厅文</w:t>
                      </w:r>
                      <w:r>
                        <w:rPr>
                          <w:rFonts w:hint="eastAsia" w:ascii="方正小标宋简体" w:eastAsia="方正小标宋简体"/>
                          <w:snapToGrid w:val="0"/>
                          <w:color w:val="FF0000"/>
                          <w:spacing w:val="62"/>
                          <w:w w:val="67"/>
                          <w:kern w:val="0"/>
                          <w:sz w:val="130"/>
                          <w:szCs w:val="130"/>
                          <w:fitText w:val="8775" w:id="7981"/>
                        </w:rPr>
                        <w:t>件</w:t>
                      </w:r>
                    </w:p>
                  </w:txbxContent>
                </v:textbox>
              </v:shape>
            </w:pict>
          </mc:Fallback>
        </mc:AlternateContent>
      </w:r>
    </w:p>
    <w:p>
      <w:pPr>
        <w:rPr>
          <w:rFonts w:hint="eastAsia" w:ascii="仿宋_GB2312" w:eastAsia="仿宋_GB2312"/>
          <w:szCs w:val="21"/>
        </w:rPr>
      </w:pPr>
    </w:p>
    <w:p>
      <w:pPr>
        <w:rPr>
          <w:rFonts w:hint="eastAsia" w:ascii="仿宋_GB2312" w:eastAsia="仿宋_GB2312"/>
          <w:szCs w:val="32"/>
        </w:rPr>
      </w:pPr>
    </w:p>
    <w:p>
      <w:pPr>
        <w:rPr>
          <w:rFonts w:hint="eastAsia" w:ascii="仿宋_GB2312" w:eastAsia="仿宋_GB2312"/>
          <w:szCs w:val="32"/>
        </w:rPr>
      </w:pPr>
    </w:p>
    <w:p>
      <w:pPr>
        <w:spacing w:line="280" w:lineRule="exact"/>
        <w:ind w:firstLine="160" w:firstLineChars="50"/>
        <w:rPr>
          <w:rFonts w:hint="eastAsia" w:ascii="仿宋_GB2312" w:eastAsia="仿宋_GB2312"/>
          <w:szCs w:val="32"/>
        </w:rPr>
      </w:pPr>
    </w:p>
    <w:p>
      <w:pPr>
        <w:spacing w:line="200" w:lineRule="exact"/>
        <w:ind w:firstLine="160" w:firstLineChars="50"/>
        <w:rPr>
          <w:rFonts w:hint="eastAsia" w:ascii="仿宋_GB2312" w:eastAsia="仿宋_GB2312"/>
          <w:szCs w:val="32"/>
        </w:rPr>
      </w:pPr>
    </w:p>
    <w:p>
      <w:pPr>
        <w:adjustRightInd w:val="0"/>
        <w:snapToGrid w:val="0"/>
        <w:spacing w:line="440" w:lineRule="exact"/>
        <w:ind w:firstLine="220" w:firstLineChars="50"/>
        <w:rPr>
          <w:rFonts w:hint="eastAsia" w:ascii="仿宋_GB2312" w:eastAsia="仿宋_GB2312"/>
          <w:sz w:val="44"/>
          <w:szCs w:val="44"/>
        </w:rPr>
      </w:pPr>
      <w:r>
        <w:rPr>
          <w:rFonts w:cs="Arial"/>
          <w:sz w:val="44"/>
        </w:rPr>
        <mc:AlternateContent>
          <mc:Choice Requires="wps">
            <w:drawing>
              <wp:anchor distT="0" distB="0" distL="114300" distR="114300" simplePos="0" relativeHeight="251662336" behindDoc="0" locked="0" layoutInCell="1" allowOverlap="1">
                <wp:simplePos x="0" y="0"/>
                <wp:positionH relativeFrom="column">
                  <wp:posOffset>1370965</wp:posOffset>
                </wp:positionH>
                <wp:positionV relativeFrom="paragraph">
                  <wp:posOffset>267970</wp:posOffset>
                </wp:positionV>
                <wp:extent cx="2696845" cy="509270"/>
                <wp:effectExtent l="0" t="0" r="0" b="0"/>
                <wp:wrapNone/>
                <wp:docPr id="4" name="文本框 5"/>
                <wp:cNvGraphicFramePr/>
                <a:graphic xmlns:a="http://schemas.openxmlformats.org/drawingml/2006/main">
                  <a:graphicData uri="http://schemas.microsoft.com/office/word/2010/wordprocessingShape">
                    <wps:wsp>
                      <wps:cNvSpPr txBox="true"/>
                      <wps:spPr>
                        <a:xfrm>
                          <a:off x="1026795" y="4056380"/>
                          <a:ext cx="2696845" cy="509270"/>
                        </a:xfrm>
                        <a:prstGeom prst="rect">
                          <a:avLst/>
                        </a:prstGeom>
                        <a:noFill/>
                        <a:ln>
                          <a:noFill/>
                        </a:ln>
                        <a:effectLst/>
                      </wps:spPr>
                      <wps:txbx>
                        <w:txbxContent>
                          <w:p>
                            <w:pPr>
                              <w:jc w:val="center"/>
                              <w:rPr>
                                <w:rFonts w:eastAsia="仿宋_GB2312" w:cs="Arial"/>
                              </w:rPr>
                            </w:pPr>
                            <w:r>
                              <w:rPr>
                                <w:rFonts w:hint="eastAsia" w:ascii="仿宋_GB2312" w:eastAsia="仿宋_GB2312" w:cs="仿宋_GB2312"/>
                                <w:szCs w:val="32"/>
                                <w:lang w:eastAsia="zh-CN"/>
                              </w:rPr>
                              <w:t>闽环规〔2026〕1号</w:t>
                            </w:r>
                          </w:p>
                        </w:txbxContent>
                      </wps:txbx>
                      <wps:bodyPr vert="horz" wrap="square" anchor="t" anchorCtr="false" upright="true"/>
                    </wps:wsp>
                  </a:graphicData>
                </a:graphic>
              </wp:anchor>
            </w:drawing>
          </mc:Choice>
          <mc:Fallback>
            <w:pict>
              <v:shape id="文本框 5" o:spid="_x0000_s1026" o:spt="202" type="#_x0000_t202" style="position:absolute;left:0pt;margin-left:107.95pt;margin-top:21.1pt;height:40.1pt;width:212.35pt;z-index:251662336;mso-width-relative:page;mso-height-relative:page;" filled="f" stroked="f" coordsize="21600,21600" o:gfxdata="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V9USdcAAAAKAQAADwAAAAAA&#10;AAABACAAAAA4AAAAZHJzL2Rvd25yZXYueG1sUEsBAhQAFAAAAAgAh07iQOs5RNvFAQAAVwMAAA4A&#10;AAAAAAAAAQAgAAAAPAEAAGRycy9lMm9Eb2MueG1sUEsFBgAAAAAGAAYAWQEAAHMFAAAAAA==&#10;">
                <v:fill on="f" focussize="0,0"/>
                <v:stroke on="f"/>
                <v:imagedata o:title=""/>
                <o:lock v:ext="edit" aspectratio="f"/>
                <v:textbox>
                  <w:txbxContent>
                    <w:p>
                      <w:pPr>
                        <w:jc w:val="center"/>
                        <w:rPr>
                          <w:rFonts w:eastAsia="仿宋_GB2312" w:cs="Arial"/>
                        </w:rPr>
                      </w:pPr>
                      <w:r>
                        <w:rPr>
                          <w:rFonts w:hint="eastAsia" w:ascii="仿宋_GB2312" w:eastAsia="仿宋_GB2312" w:cs="仿宋_GB2312"/>
                          <w:szCs w:val="32"/>
                          <w:lang w:eastAsia="zh-CN"/>
                        </w:rPr>
                        <w:t>闽环规〔2026〕1号</w:t>
                      </w:r>
                    </w:p>
                  </w:txbxContent>
                </v:textbox>
              </v:shape>
            </w:pict>
          </mc:Fallback>
        </mc:AlternateContent>
      </w:r>
    </w:p>
    <w:p>
      <w:pPr>
        <w:spacing w:line="320" w:lineRule="exact"/>
        <w:ind w:left="0" w:firstLine="320" w:firstLineChars="100"/>
        <w:jc w:val="both"/>
        <w:rPr>
          <w:rFonts w:hint="eastAsia" w:ascii="楷体_GB2312" w:eastAsia="仿宋_GB2312"/>
          <w:szCs w:val="32"/>
          <w:lang w:eastAsia="zh-CN"/>
        </w:rPr>
      </w:pPr>
    </w:p>
    <w:p>
      <w:pPr>
        <w:tabs>
          <w:tab w:val="left" w:pos="5385"/>
        </w:tabs>
        <w:adjustRightInd w:val="0"/>
        <w:snapToGrid w:val="0"/>
        <w:ind w:left="-17" w:firstLine="482"/>
        <w:rPr>
          <w:rFonts w:hint="eastAsia" w:ascii="仿宋_GB2312" w:eastAsia="仿宋_GB2312"/>
          <w:szCs w:val="32"/>
        </w:rPr>
      </w:pPr>
      <w:r>
        <w:rPr>
          <w:rFonts w:hint="eastAsia" w:ascii="楷体_GB2312" w:eastAsia="楷体_GB2312"/>
          <w:szCs w:val="32"/>
        </w:rPr>
        <mc:AlternateContent>
          <mc:Choice Requires="wps">
            <w:drawing>
              <wp:anchor distT="0" distB="0" distL="114300" distR="114300" simplePos="0" relativeHeight="251660288" behindDoc="0" locked="0" layoutInCell="1" allowOverlap="1">
                <wp:simplePos x="0" y="0"/>
                <wp:positionH relativeFrom="column">
                  <wp:posOffset>-26670</wp:posOffset>
                </wp:positionH>
                <wp:positionV relativeFrom="paragraph">
                  <wp:posOffset>159385</wp:posOffset>
                </wp:positionV>
                <wp:extent cx="5607050" cy="0"/>
                <wp:effectExtent l="0" t="15875" r="12700" b="22225"/>
                <wp:wrapNone/>
                <wp:docPr id="2" name="直线 4"/>
                <wp:cNvGraphicFramePr/>
                <a:graphic xmlns:a="http://schemas.openxmlformats.org/drawingml/2006/main">
                  <a:graphicData uri="http://schemas.microsoft.com/office/word/2010/wordprocessingShape">
                    <wps:wsp>
                      <wps:cNvCnPr/>
                      <wps:spPr>
                        <a:xfrm>
                          <a:off x="0" y="0"/>
                          <a:ext cx="5607050" cy="0"/>
                        </a:xfrm>
                        <a:prstGeom prst="line">
                          <a:avLst/>
                        </a:prstGeom>
                        <a:ln w="31750" cap="flat" cmpd="sng">
                          <a:solidFill>
                            <a:srgbClr val="FF0000"/>
                          </a:solidFill>
                          <a:prstDash val="solid"/>
                          <a:headEnd type="none" w="med" len="med"/>
                          <a:tailEnd type="none" w="med" len="med"/>
                        </a:ln>
                      </wps:spPr>
                      <wps:bodyPr upright="true"/>
                    </wps:wsp>
                  </a:graphicData>
                </a:graphic>
              </wp:anchor>
            </w:drawing>
          </mc:Choice>
          <mc:Fallback>
            <w:pict>
              <v:line id="直线 4" o:spid="_x0000_s1026" o:spt="20" style="position:absolute;left:0pt;margin-left:-2.1pt;margin-top:12.55pt;height:0pt;width:441.5pt;z-index:251660288;mso-width-relative:page;mso-height-relative:page;" filled="f" stroked="t" coordsize="21600,21600" o:gfxdata="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mwOXGdcA&#10;AAAIAQAADwAAAAAAAAABACAAAAA4AAAAZHJzL2Rvd25yZXYueG1sUEsBAhQAFAAAAAgAh07iQFlQ&#10;G5/RAQAAkQMAAA4AAAAAAAAAAQAgAAAAPAEAAGRycy9lMm9Eb2MueG1sUEsFBgAAAAAGAAYAWQEA&#10;AH8FAAAAAA==&#10;">
                <v:fill on="f" focussize="0,0"/>
                <v:stroke weight="2.5pt" color="#FF0000" joinstyle="round"/>
                <v:imagedata o:title=""/>
                <o:lock v:ext="edit" aspectratio="f"/>
              </v:line>
            </w:pict>
          </mc:Fallback>
        </mc:AlternateContent>
      </w:r>
      <w:r>
        <w:rPr>
          <w:rFonts w:hint="eastAsia" w:ascii="楷体_GB2312" w:eastAsia="楷体_GB2312"/>
          <w:szCs w:val="32"/>
        </w:rPr>
        <w:t xml:space="preserve">  </w:t>
      </w:r>
      <w:r>
        <w:rPr>
          <w:rFonts w:hint="eastAsia" w:ascii="楷体_GB2312" w:eastAsia="楷体_GB2312"/>
          <w:szCs w:val="32"/>
        </w:rPr>
        <w:tab/>
      </w:r>
    </w:p>
    <w:p>
      <w:pPr>
        <w:adjustRightInd w:val="0"/>
        <w:snapToGrid w:val="0"/>
        <w:spacing w:line="360" w:lineRule="auto"/>
        <w:ind w:left="0" w:firstLine="0"/>
        <w:textAlignment w:val="top"/>
        <w:rPr>
          <w:rFonts w:hint="eastAsia" w:ascii="仿宋_GB2312" w:hAnsi="仿宋_GB2312"/>
          <w:sz w:val="30"/>
          <w:szCs w:val="30"/>
        </w:rPr>
      </w:pPr>
    </w:p>
    <w:p>
      <w:pPr>
        <w:adjustRightInd w:val="0"/>
        <w:snapToGrid w:val="0"/>
        <w:spacing w:line="300" w:lineRule="auto"/>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福建省生态环境厅关于</w:t>
      </w:r>
      <w:bookmarkStart w:id="0" w:name="_GoBack"/>
      <w:bookmarkEnd w:id="0"/>
      <w:r>
        <w:rPr>
          <w:rFonts w:hint="eastAsia" w:ascii="方正小标宋简体" w:eastAsia="方正小标宋简体"/>
          <w:sz w:val="44"/>
          <w:szCs w:val="44"/>
          <w:lang w:val="en-US" w:eastAsia="zh-CN"/>
        </w:rPr>
        <w:t>公布</w:t>
      </w:r>
    </w:p>
    <w:p>
      <w:pPr>
        <w:adjustRightInd w:val="0"/>
        <w:snapToGrid w:val="0"/>
        <w:spacing w:line="300" w:lineRule="auto"/>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行政规范性文件清理结果的通知</w:t>
      </w:r>
    </w:p>
    <w:p>
      <w:pPr>
        <w:adjustRightInd w:val="0"/>
        <w:snapToGrid w:val="0"/>
        <w:spacing w:line="348" w:lineRule="auto"/>
        <w:rPr>
          <w:rFonts w:hint="eastAsia" w:ascii="仿宋_GB2312" w:eastAsia="仿宋_GB2312"/>
          <w:szCs w:val="32"/>
        </w:rPr>
      </w:pPr>
    </w:p>
    <w:p>
      <w:pPr>
        <w:adjustRightInd w:val="0"/>
        <w:snapToGrid w:val="0"/>
        <w:spacing w:line="348" w:lineRule="auto"/>
        <w:rPr>
          <w:rFonts w:hint="default" w:ascii="仿宋_GB2312" w:eastAsia="仿宋_GB2312"/>
          <w:sz w:val="32"/>
          <w:szCs w:val="32"/>
          <w:lang w:val="en-US" w:eastAsia="zh-CN"/>
        </w:rPr>
      </w:pPr>
      <w:r>
        <w:rPr>
          <w:rFonts w:hint="eastAsia" w:ascii="仿宋_GB2312" w:eastAsia="仿宋_GB2312"/>
          <w:sz w:val="32"/>
          <w:szCs w:val="32"/>
          <w:lang w:val="en-US" w:eastAsia="zh-CN"/>
        </w:rPr>
        <w:t>各设区市生态环境局，平潭综合实验区自然资源与生态环境局，机关各处室、直属各单位：</w:t>
      </w:r>
    </w:p>
    <w:p>
      <w:pPr>
        <w:keepNext w:val="0"/>
        <w:keepLines w:val="0"/>
        <w:pageBreakBefore w:val="0"/>
        <w:widowControl w:val="0"/>
        <w:kinsoku/>
        <w:wordWrap/>
        <w:overflowPunct/>
        <w:topLinePunct w:val="0"/>
        <w:autoSpaceDE/>
        <w:autoSpaceDN/>
        <w:bidi w:val="0"/>
        <w:adjustRightInd w:val="0"/>
        <w:snapToGrid w:val="0"/>
        <w:spacing w:line="348" w:lineRule="auto"/>
        <w:ind w:firstLine="62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为贯彻落实《中华人民共和国生态环境法典》，维护法治统一，根据《福建省行政规范性文件备案审查办法》有关规定，我厅组织开展了规范性文件清理。经过清理，废止17件行政规范性文件，宣布失效12件行政规范性文件，延长1件行政规范性文件有效期。现将清理结果予以公布</w:t>
      </w:r>
      <w:r>
        <w:rPr>
          <w:rFonts w:hint="eastAsia" w:ascii="仿宋_GB2312" w:eastAsia="仿宋_GB2312"/>
          <w:sz w:val="32"/>
          <w:szCs w:val="32"/>
          <w:lang w:val="en-US" w:eastAsia="zh-CN"/>
        </w:rPr>
        <w:t>。本</w:t>
      </w:r>
      <w:r>
        <w:rPr>
          <w:rFonts w:hint="eastAsia" w:ascii="仿宋_GB2312" w:eastAsia="仿宋_GB2312"/>
          <w:sz w:val="32"/>
          <w:szCs w:val="32"/>
          <w:lang w:val="en-US" w:eastAsia="zh-CN"/>
        </w:rPr>
        <w:t>通知</w:t>
      </w:r>
      <w:r>
        <w:rPr>
          <w:rFonts w:hint="eastAsia" w:ascii="仿宋_GB2312" w:eastAsia="仿宋_GB2312"/>
          <w:sz w:val="32"/>
          <w:szCs w:val="32"/>
          <w:lang w:val="en-US" w:eastAsia="zh-CN"/>
        </w:rPr>
        <w:t>自印发</w:t>
      </w:r>
      <w:r>
        <w:rPr>
          <w:rFonts w:hint="eastAsia" w:ascii="仿宋_GB2312" w:eastAsia="仿宋_GB2312"/>
          <w:sz w:val="32"/>
          <w:szCs w:val="32"/>
          <w:lang w:val="en-US" w:eastAsia="zh-CN"/>
        </w:rPr>
        <w:t>之日起执行。</w:t>
      </w:r>
    </w:p>
    <w:p>
      <w:pPr>
        <w:keepNext w:val="0"/>
        <w:keepLines w:val="0"/>
        <w:pageBreakBefore w:val="0"/>
        <w:widowControl w:val="0"/>
        <w:kinsoku/>
        <w:wordWrap/>
        <w:overflowPunct/>
        <w:topLinePunct w:val="0"/>
        <w:autoSpaceDE/>
        <w:autoSpaceDN/>
        <w:bidi w:val="0"/>
        <w:adjustRightInd w:val="0"/>
        <w:snapToGrid w:val="0"/>
        <w:spacing w:line="360" w:lineRule="auto"/>
        <w:ind w:firstLine="62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附件：1.废止的行政规范性文件目录</w:t>
      </w:r>
    </w:p>
    <w:p>
      <w:pPr>
        <w:keepNext w:val="0"/>
        <w:keepLines w:val="0"/>
        <w:pageBreakBefore w:val="0"/>
        <w:widowControl w:val="0"/>
        <w:kinsoku/>
        <w:wordWrap/>
        <w:overflowPunct/>
        <w:topLinePunct w:val="0"/>
        <w:autoSpaceDE/>
        <w:autoSpaceDN/>
        <w:bidi w:val="0"/>
        <w:adjustRightInd w:val="0"/>
        <w:snapToGrid w:val="0"/>
        <w:spacing w:line="360" w:lineRule="auto"/>
        <w:ind w:firstLine="1600" w:firstLineChars="5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2.宣布失效的行政规范性文件目录</w:t>
      </w:r>
    </w:p>
    <w:p>
      <w:pPr>
        <w:keepNext w:val="0"/>
        <w:keepLines w:val="0"/>
        <w:pageBreakBefore w:val="0"/>
        <w:widowControl w:val="0"/>
        <w:kinsoku/>
        <w:wordWrap/>
        <w:overflowPunct/>
        <w:topLinePunct w:val="0"/>
        <w:autoSpaceDE/>
        <w:autoSpaceDN/>
        <w:bidi w:val="0"/>
        <w:adjustRightInd w:val="0"/>
        <w:snapToGrid w:val="0"/>
        <w:spacing w:line="360" w:lineRule="auto"/>
        <w:ind w:firstLine="1600" w:firstLineChars="5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3.延长有效期的行政规范性文件目录</w:t>
      </w:r>
    </w:p>
    <w:p>
      <w:pPr>
        <w:keepNext w:val="0"/>
        <w:keepLines w:val="0"/>
        <w:pageBreakBefore w:val="0"/>
        <w:widowControl w:val="0"/>
        <w:kinsoku/>
        <w:wordWrap/>
        <w:overflowPunct/>
        <w:topLinePunct w:val="0"/>
        <w:autoSpaceDE/>
        <w:autoSpaceDN/>
        <w:bidi w:val="0"/>
        <w:adjustRightInd w:val="0"/>
        <w:snapToGrid w:val="0"/>
        <w:spacing w:line="360" w:lineRule="auto"/>
        <w:ind w:firstLine="620"/>
        <w:textAlignment w:val="auto"/>
        <w:rPr>
          <w:rFonts w:hint="default" w:ascii="仿宋_GB2312" w:eastAsia="仿宋_GB2312"/>
          <w:sz w:val="31"/>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620"/>
        <w:textAlignment w:val="auto"/>
        <w:rPr>
          <w:rFonts w:hint="default" w:ascii="仿宋_GB2312" w:eastAsia="仿宋_GB2312"/>
          <w:sz w:val="31"/>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eastAsia="仿宋_GB2312" w:cs="Times New Roman"/>
          <w:szCs w:val="32"/>
          <w:lang w:bidi="ar-SA"/>
        </w:rPr>
      </w:pPr>
      <w:r>
        <w:rPr>
          <w:rFonts w:hint="eastAsia" w:ascii="仿宋_GB2312" w:eastAsia="仿宋_GB2312" w:cs="Times New Roman"/>
          <w:szCs w:val="32"/>
          <w:lang w:bidi="ar-SA"/>
        </w:rPr>
        <w:t xml:space="preserve">             </w:t>
      </w:r>
      <w:r>
        <w:rPr>
          <w:rFonts w:hint="eastAsia" w:ascii="仿宋_GB2312" w:eastAsia="仿宋_GB2312" w:cs="Times New Roman"/>
          <w:szCs w:val="32"/>
          <w:lang w:bidi="ar-SA"/>
        </w:rPr>
        <w:t xml:space="preserve">         </w:t>
      </w:r>
      <w:r>
        <w:rPr>
          <w:rFonts w:hint="eastAsia" w:ascii="仿宋_GB2312" w:eastAsia="仿宋_GB2312" w:cs="Times New Roman"/>
          <w:szCs w:val="32"/>
          <w:lang w:val="en-US" w:eastAsia="zh-CN" w:bidi="ar-SA"/>
        </w:rPr>
        <w:t xml:space="preserve">  </w:t>
      </w:r>
      <w:r>
        <w:rPr>
          <w:rFonts w:hint="eastAsia" w:ascii="仿宋_GB2312" w:eastAsia="仿宋_GB2312" w:cs="Times New Roman"/>
          <w:szCs w:val="32"/>
          <w:lang w:bidi="ar-SA"/>
        </w:rPr>
        <w:t>福建省生态环境厅</w:t>
      </w:r>
    </w:p>
    <w:p>
      <w:pPr>
        <w:keepNext w:val="0"/>
        <w:keepLines w:val="0"/>
        <w:pageBreakBefore w:val="0"/>
        <w:widowControl w:val="0"/>
        <w:tabs>
          <w:tab w:val="left" w:pos="4480"/>
          <w:tab w:val="left" w:pos="7175"/>
        </w:tabs>
        <w:kinsoku/>
        <w:wordWrap/>
        <w:overflowPunct/>
        <w:topLinePunct w:val="0"/>
        <w:autoSpaceDE/>
        <w:autoSpaceDN/>
        <w:bidi w:val="0"/>
        <w:adjustRightInd w:val="0"/>
        <w:snapToGrid w:val="0"/>
        <w:spacing w:line="360" w:lineRule="auto"/>
        <w:ind w:firstLine="320" w:firstLineChars="100"/>
        <w:textAlignment w:val="auto"/>
        <w:rPr>
          <w:rFonts w:hint="eastAsia" w:ascii="仿宋_GB2312" w:eastAsia="仿宋_GB2312" w:cs="Times New Roman"/>
          <w:szCs w:val="32"/>
          <w:lang w:bidi="ar-SA"/>
        </w:rPr>
      </w:pPr>
      <w:r>
        <w:rPr>
          <w:rFonts w:hint="eastAsia" w:ascii="仿宋_GB2312" w:eastAsia="仿宋_GB2312" w:cs="Times New Roman"/>
          <w:szCs w:val="32"/>
          <w:lang w:bidi="ar-SA"/>
        </w:rPr>
        <w:t xml:space="preserve">                            </w:t>
      </w:r>
      <w:r>
        <w:rPr>
          <w:rFonts w:hint="eastAsia" w:ascii="仿宋_GB2312" w:eastAsia="仿宋_GB2312" w:cs="Times New Roman"/>
          <w:sz w:val="40"/>
          <w:szCs w:val="40"/>
          <w:lang w:bidi="ar-SA"/>
        </w:rPr>
        <w:t xml:space="preserve"> </w:t>
      </w:r>
      <w:r>
        <w:rPr>
          <w:rFonts w:hint="eastAsia" w:ascii="仿宋_GB2312" w:eastAsia="仿宋_GB2312" w:cs="Times New Roman"/>
          <w:szCs w:val="32"/>
          <w:lang w:bidi="ar-SA"/>
        </w:rPr>
        <w:t>20</w:t>
      </w:r>
      <w:r>
        <w:rPr>
          <w:rFonts w:hint="eastAsia" w:ascii="仿宋_GB2312" w:eastAsia="仿宋_GB2312" w:cs="Times New Roman"/>
          <w:szCs w:val="32"/>
          <w:lang w:val="en-US" w:eastAsia="zh-CN" w:bidi="ar-SA"/>
        </w:rPr>
        <w:t>26</w:t>
      </w:r>
      <w:r>
        <w:rPr>
          <w:rFonts w:hint="eastAsia" w:ascii="仿宋_GB2312" w:eastAsia="仿宋_GB2312" w:cs="Times New Roman"/>
          <w:szCs w:val="32"/>
          <w:lang w:bidi="ar-SA"/>
        </w:rPr>
        <w:t>年</w:t>
      </w:r>
      <w:r>
        <w:rPr>
          <w:rFonts w:hint="eastAsia" w:ascii="仿宋_GB2312" w:eastAsia="仿宋_GB2312" w:cs="Times New Roman"/>
          <w:szCs w:val="32"/>
          <w:lang w:val="en-US" w:eastAsia="zh-CN" w:bidi="ar-SA"/>
        </w:rPr>
        <w:t>8</w:t>
      </w:r>
      <w:r>
        <w:rPr>
          <w:rFonts w:hint="eastAsia" w:ascii="仿宋_GB2312" w:eastAsia="仿宋_GB2312" w:cs="Times New Roman"/>
          <w:szCs w:val="32"/>
          <w:lang w:bidi="ar-SA"/>
        </w:rPr>
        <w:t>月</w:t>
      </w:r>
      <w:r>
        <w:rPr>
          <w:rFonts w:hint="eastAsia" w:ascii="仿宋_GB2312" w:eastAsia="仿宋_GB2312" w:cs="Times New Roman"/>
          <w:szCs w:val="32"/>
          <w:lang w:val="en-US" w:eastAsia="zh-CN" w:bidi="ar-SA"/>
        </w:rPr>
        <w:t>1</w:t>
      </w:r>
      <w:r>
        <w:rPr>
          <w:rFonts w:hint="eastAsia" w:ascii="仿宋_GB2312" w:eastAsia="仿宋_GB2312" w:cs="Times New Roman"/>
          <w:szCs w:val="32"/>
          <w:lang w:val="en-US" w:eastAsia="zh-CN" w:bidi="ar-SA"/>
        </w:rPr>
        <w:t>2</w:t>
      </w:r>
      <w:r>
        <w:rPr>
          <w:rFonts w:hint="eastAsia" w:ascii="仿宋_GB2312" w:eastAsia="仿宋_GB2312" w:cs="Times New Roman"/>
          <w:szCs w:val="32"/>
          <w:lang w:bidi="ar-SA"/>
        </w:rPr>
        <w:t>日</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eastAsia="仿宋_GB2312" w:cs="仿宋_GB2312"/>
          <w:szCs w:val="32"/>
          <w:lang w:bidi="ar-SA"/>
        </w:rPr>
      </w:pPr>
      <w:r>
        <w:rPr>
          <w:rFonts w:hint="eastAsia" w:ascii="仿宋_GB2312" w:eastAsia="仿宋_GB2312" w:cs="仿宋_GB2312"/>
          <w:szCs w:val="32"/>
          <w:lang w:bidi="ar-SA"/>
        </w:rPr>
        <w:t>（此件</w:t>
      </w:r>
      <w:r>
        <w:rPr>
          <w:rFonts w:hint="eastAsia" w:ascii="仿宋_GB2312" w:eastAsia="仿宋_GB2312" w:cs="仿宋_GB2312"/>
          <w:szCs w:val="32"/>
          <w:lang w:eastAsia="zh-CN" w:bidi="ar-SA"/>
        </w:rPr>
        <w:t>主动公开</w:t>
      </w:r>
      <w:r>
        <w:rPr>
          <w:rFonts w:hint="eastAsia" w:ascii="仿宋_GB2312" w:eastAsia="仿宋_GB2312" w:cs="仿宋_GB2312"/>
          <w:szCs w:val="32"/>
          <w:lang w:bidi="ar-SA"/>
        </w:rPr>
        <w:t>）</w:t>
      </w:r>
    </w:p>
    <w:p>
      <w:pPr>
        <w:snapToGrid w:val="0"/>
        <w:spacing w:line="420" w:lineRule="auto"/>
        <w:ind w:firstLine="640" w:firstLineChars="200"/>
        <w:rPr>
          <w:rFonts w:hint="eastAsia" w:ascii="仿宋_GB2312" w:eastAsia="仿宋_GB2312"/>
          <w:szCs w:val="32"/>
        </w:rPr>
      </w:pPr>
    </w:p>
    <w:p>
      <w:pPr>
        <w:spacing w:line="480" w:lineRule="auto"/>
        <w:rPr>
          <w:rFonts w:hint="eastAsia" w:ascii="仿宋_GB2312" w:eastAsia="仿宋_GB2312" w:cs="宋体"/>
          <w:szCs w:val="32"/>
          <w:lang w:val="zh-TW" w:eastAsia="zh-TW" w:bidi="ar-SA"/>
        </w:rPr>
      </w:pPr>
    </w:p>
    <w:p>
      <w:pPr>
        <w:pStyle w:val="2"/>
        <w:rPr>
          <w:rFonts w:hint="eastAsia"/>
          <w:lang w:val="zh-TW" w:eastAsia="zh-TW"/>
        </w:rPr>
      </w:pPr>
    </w:p>
    <w:p>
      <w:pPr>
        <w:adjustRightInd w:val="0"/>
        <w:snapToGrid w:val="0"/>
        <w:spacing w:line="360" w:lineRule="auto"/>
        <w:ind w:firstLine="640" w:firstLineChars="200"/>
        <w:rPr>
          <w:rFonts w:hint="eastAsia" w:ascii="仿宋_GB2312" w:eastAsia="仿宋_GB2312" w:cs="Arial"/>
          <w:snapToGrid/>
          <w:color w:val="auto"/>
          <w:spacing w:val="0"/>
          <w:w w:val="100"/>
          <w:kern w:val="2"/>
          <w:position w:val="0"/>
          <w:sz w:val="32"/>
          <w:szCs w:val="32"/>
          <w:u w:val="none" w:color="auto"/>
          <w:vertAlign w:val="baseline"/>
          <w:lang w:bidi="ar-SA"/>
        </w:rPr>
      </w:pPr>
    </w:p>
    <w:p>
      <w:pPr>
        <w:autoSpaceDN w:val="0"/>
        <w:adjustRightInd w:val="0"/>
        <w:snapToGrid w:val="0"/>
        <w:spacing w:line="420" w:lineRule="auto"/>
        <w:ind w:left="0"/>
        <w:rPr>
          <w:sz w:val="28"/>
          <w:szCs w:val="20"/>
        </w:rPr>
      </w:pPr>
    </w:p>
    <w:p>
      <w:pPr>
        <w:autoSpaceDN w:val="0"/>
        <w:adjustRightInd w:val="0"/>
        <w:snapToGrid w:val="0"/>
        <w:spacing w:line="420" w:lineRule="auto"/>
        <w:ind w:left="0"/>
        <w:rPr>
          <w:sz w:val="28"/>
          <w:szCs w:val="20"/>
        </w:rPr>
      </w:pPr>
    </w:p>
    <w:p>
      <w:pPr>
        <w:autoSpaceDN w:val="0"/>
        <w:adjustRightInd w:val="0"/>
        <w:snapToGrid w:val="0"/>
        <w:spacing w:line="420" w:lineRule="auto"/>
        <w:ind w:left="0"/>
        <w:rPr>
          <w:sz w:val="28"/>
          <w:szCs w:val="20"/>
        </w:rPr>
      </w:pPr>
    </w:p>
    <w:p>
      <w:pPr>
        <w:pStyle w:val="2"/>
        <w:rPr>
          <w:sz w:val="28"/>
          <w:szCs w:val="20"/>
        </w:rPr>
      </w:pPr>
    </w:p>
    <w:p>
      <w:pPr>
        <w:pStyle w:val="3"/>
        <w:rPr>
          <w:sz w:val="28"/>
          <w:szCs w:val="20"/>
        </w:rPr>
      </w:pPr>
    </w:p>
    <w:p>
      <w:pPr>
        <w:rPr>
          <w:sz w:val="28"/>
          <w:szCs w:val="20"/>
        </w:rPr>
      </w:pPr>
    </w:p>
    <w:p>
      <w:pPr>
        <w:pStyle w:val="2"/>
        <w:rPr>
          <w:sz w:val="28"/>
          <w:szCs w:val="20"/>
        </w:rPr>
      </w:pPr>
    </w:p>
    <w:p>
      <w:pPr>
        <w:pStyle w:val="3"/>
      </w:pPr>
    </w:p>
    <w:p>
      <w:pPr>
        <w:autoSpaceDN w:val="0"/>
        <w:adjustRightInd w:val="0"/>
        <w:snapToGrid w:val="0"/>
        <w:spacing w:line="420" w:lineRule="auto"/>
        <w:ind w:left="0"/>
        <w:rPr>
          <w:sz w:val="28"/>
          <w:szCs w:val="20"/>
        </w:rPr>
      </w:pPr>
    </w:p>
    <w:p>
      <w:pPr>
        <w:autoSpaceDN w:val="0"/>
        <w:adjustRightInd w:val="0"/>
        <w:snapToGrid w:val="0"/>
        <w:spacing w:line="420" w:lineRule="auto"/>
        <w:ind w:left="0"/>
        <w:rPr>
          <w:sz w:val="28"/>
          <w:szCs w:val="20"/>
        </w:rPr>
      </w:pP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废止的行政规范性文件目录</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8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blHeader/>
        </w:trPr>
        <w:tc>
          <w:tcPr>
            <w:tcW w:w="447" w:type="pct"/>
            <w:noWrap w:val="0"/>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4552" w:type="pct"/>
            <w:noWrap w:val="0"/>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文件名称（包括文号）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1</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auto"/>
                <w:kern w:val="2"/>
                <w:sz w:val="24"/>
                <w:szCs w:val="24"/>
                <w:u w:val="none"/>
                <w:lang w:val="en-US" w:eastAsia="zh-CN" w:bidi="ar-SA"/>
              </w:rPr>
            </w:pPr>
            <w:r>
              <w:rPr>
                <w:rFonts w:hint="eastAsia" w:ascii="仿宋_GB2312" w:hAnsi="宋体" w:eastAsia="仿宋_GB2312" w:cs="仿宋_GB2312"/>
                <w:i w:val="0"/>
                <w:iCs w:val="0"/>
                <w:color w:val="auto"/>
                <w:kern w:val="0"/>
                <w:sz w:val="24"/>
                <w:szCs w:val="24"/>
                <w:u w:val="none"/>
                <w:lang w:val="en-US" w:eastAsia="zh-CN" w:bidi="ar"/>
              </w:rPr>
              <w:fldChar w:fldCharType="begin"/>
            </w:r>
            <w:r>
              <w:rPr>
                <w:rFonts w:hint="eastAsia" w:ascii="仿宋_GB2312" w:hAnsi="宋体" w:eastAsia="仿宋_GB2312" w:cs="仿宋_GB2312"/>
                <w:i w:val="0"/>
                <w:iCs w:val="0"/>
                <w:color w:val="auto"/>
                <w:kern w:val="0"/>
                <w:sz w:val="24"/>
                <w:szCs w:val="24"/>
                <w:u w:val="none"/>
                <w:lang w:val="en-US" w:eastAsia="zh-CN" w:bidi="ar"/>
              </w:rPr>
              <w:instrText xml:space="preserve"> HYPERLINK "http://sthjt.fujian.gov.cn/zwgk/zfxxgkzl/zfxxgkml/gfxwj/202304/t20230428_6161407.htm" \o "http://sthjt.fujian.gov.cn/zwgk/zfxxgkzl/zfxxgkml/gfxwj/202304/t20230428_6161407.htm" </w:instrText>
            </w:r>
            <w:r>
              <w:rPr>
                <w:rFonts w:hint="eastAsia" w:ascii="仿宋_GB2312" w:hAnsi="宋体" w:eastAsia="仿宋_GB2312" w:cs="仿宋_GB2312"/>
                <w:i w:val="0"/>
                <w:iCs w:val="0"/>
                <w:color w:val="auto"/>
                <w:kern w:val="0"/>
                <w:sz w:val="24"/>
                <w:szCs w:val="24"/>
                <w:u w:val="none"/>
                <w:lang w:val="en-US" w:eastAsia="zh-CN" w:bidi="ar"/>
              </w:rPr>
              <w:fldChar w:fldCharType="separate"/>
            </w:r>
            <w:r>
              <w:rPr>
                <w:rStyle w:val="10"/>
                <w:rFonts w:hint="eastAsia" w:ascii="仿宋_GB2312" w:hAnsi="宋体" w:eastAsia="仿宋_GB2312" w:cs="仿宋_GB2312"/>
                <w:i w:val="0"/>
                <w:iCs w:val="0"/>
                <w:color w:val="auto"/>
                <w:sz w:val="24"/>
                <w:szCs w:val="24"/>
                <w:u w:val="none"/>
              </w:rPr>
              <w:t>福建省环保局关于印发</w:t>
            </w:r>
            <w:r>
              <w:rPr>
                <w:rStyle w:val="10"/>
                <w:rFonts w:hint="eastAsia" w:ascii="仿宋_GB2312" w:hAnsi="宋体" w:eastAsia="仿宋_GB2312" w:cs="仿宋_GB2312"/>
                <w:i w:val="0"/>
                <w:iCs w:val="0"/>
                <w:color w:val="auto"/>
                <w:sz w:val="24"/>
                <w:szCs w:val="24"/>
                <w:u w:val="none"/>
                <w:lang w:eastAsia="zh-CN"/>
              </w:rPr>
              <w:t>《</w:t>
            </w:r>
            <w:r>
              <w:rPr>
                <w:rStyle w:val="10"/>
                <w:rFonts w:hint="eastAsia" w:ascii="仿宋_GB2312" w:hAnsi="宋体" w:eastAsia="仿宋_GB2312" w:cs="仿宋_GB2312"/>
                <w:i w:val="0"/>
                <w:iCs w:val="0"/>
                <w:color w:val="auto"/>
                <w:sz w:val="24"/>
                <w:szCs w:val="24"/>
                <w:u w:val="none"/>
              </w:rPr>
              <w:t>环保社会监督员聘请办法</w:t>
            </w:r>
            <w:r>
              <w:rPr>
                <w:rStyle w:val="10"/>
                <w:rFonts w:hint="eastAsia" w:ascii="仿宋_GB2312" w:hAnsi="宋体" w:eastAsia="仿宋_GB2312" w:cs="仿宋_GB2312"/>
                <w:i w:val="0"/>
                <w:iCs w:val="0"/>
                <w:color w:val="auto"/>
                <w:sz w:val="24"/>
                <w:szCs w:val="24"/>
                <w:u w:val="none"/>
                <w:lang w:eastAsia="zh-CN"/>
              </w:rPr>
              <w:t>》</w:t>
            </w:r>
            <w:r>
              <w:rPr>
                <w:rStyle w:val="10"/>
                <w:rFonts w:hint="eastAsia" w:ascii="仿宋_GB2312" w:hAnsi="宋体" w:eastAsia="仿宋_GB2312" w:cs="仿宋_GB2312"/>
                <w:i w:val="0"/>
                <w:iCs w:val="0"/>
                <w:color w:val="auto"/>
                <w:sz w:val="24"/>
                <w:szCs w:val="24"/>
                <w:u w:val="none"/>
              </w:rPr>
              <w:t>的通知</w:t>
            </w:r>
            <w:r>
              <w:rPr>
                <w:rFonts w:hint="eastAsia" w:ascii="仿宋_GB2312" w:hAnsi="宋体" w:eastAsia="仿宋_GB2312" w:cs="仿宋_GB2312"/>
                <w:i w:val="0"/>
                <w:iCs w:val="0"/>
                <w:color w:val="auto"/>
                <w:kern w:val="0"/>
                <w:sz w:val="24"/>
                <w:szCs w:val="24"/>
                <w:u w:val="none"/>
                <w:lang w:val="en-US" w:eastAsia="zh-CN" w:bidi="ar"/>
              </w:rPr>
              <w:fldChar w:fldCharType="end"/>
            </w:r>
            <w:r>
              <w:rPr>
                <w:rFonts w:hint="eastAsia" w:ascii="仿宋_GB2312" w:hAnsi="宋体" w:eastAsia="仿宋_GB2312" w:cs="仿宋_GB2312"/>
                <w:i w:val="0"/>
                <w:iCs w:val="0"/>
                <w:color w:val="auto"/>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闽环保法〔2004〕19号</w:t>
            </w:r>
            <w:r>
              <w:rPr>
                <w:rFonts w:hint="eastAsia" w:ascii="仿宋_GB2312" w:hAnsi="宋体" w:eastAsia="仿宋_GB2312" w:cs="仿宋_GB2312"/>
                <w:i w:val="0"/>
                <w:iCs w:val="0"/>
                <w:color w:val="auto"/>
                <w:kern w:val="0"/>
                <w:sz w:val="24"/>
                <w:szCs w:val="24"/>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noWrap w:val="0"/>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u w:val="none"/>
                <w:lang w:val="en-US" w:eastAsia="zh-CN" w:bidi="ar-SA"/>
              </w:rPr>
              <w:t>2</w:t>
            </w:r>
          </w:p>
        </w:tc>
        <w:tc>
          <w:tcPr>
            <w:tcW w:w="4552" w:type="pct"/>
            <w:noWrap w:val="0"/>
            <w:vAlign w:val="center"/>
          </w:tcPr>
          <w:p>
            <w:pPr>
              <w:keepNext w:val="0"/>
              <w:keepLines w:val="0"/>
              <w:widowControl/>
              <w:suppressLineNumbers w:val="0"/>
              <w:jc w:val="both"/>
              <w:textAlignment w:val="center"/>
              <w:rPr>
                <w:rFonts w:hint="eastAsia" w:ascii="黑体" w:hAnsi="宋体" w:eastAsia="黑体" w:cs="黑体"/>
                <w:i w:val="0"/>
                <w:iCs w:val="0"/>
                <w:color w:val="000000"/>
                <w:kern w:val="0"/>
                <w:sz w:val="24"/>
                <w:szCs w:val="24"/>
                <w:u w:val="none"/>
                <w:lang w:val="en-US" w:eastAsia="zh-CN" w:bidi="ar"/>
              </w:rPr>
            </w:pPr>
            <w:r>
              <w:rPr>
                <w:rStyle w:val="10"/>
                <w:rFonts w:hint="eastAsia" w:ascii="仿宋_GB2312" w:hAnsi="宋体" w:eastAsia="仿宋_GB2312" w:cs="仿宋_GB2312"/>
                <w:i w:val="0"/>
                <w:iCs w:val="0"/>
                <w:color w:val="auto"/>
                <w:sz w:val="24"/>
                <w:szCs w:val="24"/>
                <w:u w:val="none"/>
                <w:lang w:val="en-US" w:eastAsia="zh-CN"/>
              </w:rPr>
              <w:t>福建省环保局 福建省监察厅 福建省建设厅 福建省农业厅 福建省水利厅</w:t>
            </w:r>
            <w:r>
              <w:rPr>
                <w:rStyle w:val="10"/>
                <w:rFonts w:hint="eastAsia" w:ascii="仿宋_GB2312" w:hAnsi="宋体" w:eastAsia="仿宋_GB2312" w:cs="仿宋_GB2312"/>
                <w:i w:val="0"/>
                <w:iCs w:val="0"/>
                <w:color w:val="auto"/>
                <w:sz w:val="24"/>
                <w:szCs w:val="24"/>
                <w:u w:val="none"/>
                <w:lang w:val="en-US" w:eastAsia="zh-CN"/>
              </w:rPr>
              <w:fldChar w:fldCharType="begin"/>
            </w:r>
            <w:r>
              <w:rPr>
                <w:rStyle w:val="10"/>
                <w:rFonts w:hint="eastAsia" w:ascii="仿宋_GB2312" w:hAnsi="宋体" w:eastAsia="仿宋_GB2312" w:cs="仿宋_GB2312"/>
                <w:i w:val="0"/>
                <w:iCs w:val="0"/>
                <w:color w:val="auto"/>
                <w:sz w:val="24"/>
                <w:szCs w:val="24"/>
                <w:u w:val="none"/>
                <w:lang w:val="en-US" w:eastAsia="zh-CN"/>
              </w:rPr>
              <w:instrText xml:space="preserve"> HYPERLINK "http://sthjt.fujian.gov.cn/zwgk/zfxxgkzl/zfxxgkml/gfxwj/202305/t20230504_6162446.htm" \o "http://sthjt.fujian.gov.cn/zwgk/zfxxgkzl/zfxxgkml/gfxwj/202305/t20230504_6162446.htm" </w:instrText>
            </w:r>
            <w:r>
              <w:rPr>
                <w:rStyle w:val="10"/>
                <w:rFonts w:hint="eastAsia" w:ascii="仿宋_GB2312" w:hAnsi="宋体" w:eastAsia="仿宋_GB2312" w:cs="仿宋_GB2312"/>
                <w:i w:val="0"/>
                <w:iCs w:val="0"/>
                <w:color w:val="auto"/>
                <w:sz w:val="24"/>
                <w:szCs w:val="24"/>
                <w:u w:val="none"/>
                <w:lang w:val="en-US" w:eastAsia="zh-CN"/>
              </w:rPr>
              <w:fldChar w:fldCharType="separate"/>
            </w:r>
            <w:r>
              <w:rPr>
                <w:rStyle w:val="10"/>
                <w:rFonts w:hint="eastAsia" w:ascii="仿宋_GB2312" w:hAnsi="宋体" w:eastAsia="仿宋_GB2312" w:cs="仿宋_GB2312"/>
                <w:i w:val="0"/>
                <w:iCs w:val="0"/>
                <w:color w:val="auto"/>
                <w:sz w:val="24"/>
                <w:szCs w:val="24"/>
                <w:u w:val="none"/>
              </w:rPr>
              <w:t>关于强化九龙江流域水环境综合整治的实施意见</w:t>
            </w:r>
            <w:r>
              <w:rPr>
                <w:rStyle w:val="10"/>
                <w:rFonts w:hint="eastAsia" w:ascii="仿宋_GB2312" w:hAnsi="宋体" w:eastAsia="仿宋_GB2312" w:cs="仿宋_GB2312"/>
                <w:i w:val="0"/>
                <w:iCs w:val="0"/>
                <w:color w:val="auto"/>
                <w:sz w:val="24"/>
                <w:szCs w:val="24"/>
                <w:u w:val="none"/>
                <w:lang w:val="en-US" w:eastAsia="zh-CN"/>
              </w:rPr>
              <w:fldChar w:fldCharType="end"/>
            </w:r>
            <w:r>
              <w:rPr>
                <w:rStyle w:val="10"/>
                <w:rFonts w:hint="eastAsia" w:ascii="仿宋_GB2312" w:hAnsi="宋体" w:eastAsia="仿宋_GB2312" w:cs="仿宋_GB2312"/>
                <w:i w:val="0"/>
                <w:iCs w:val="0"/>
                <w:color w:val="auto"/>
                <w:sz w:val="24"/>
                <w:szCs w:val="24"/>
                <w:u w:val="none"/>
                <w:lang w:val="en-US" w:eastAsia="zh-CN"/>
              </w:rPr>
              <w:t>（</w:t>
            </w:r>
            <w:r>
              <w:rPr>
                <w:rFonts w:hint="eastAsia" w:ascii="仿宋_GB2312" w:hAnsi="宋体" w:eastAsia="仿宋_GB2312" w:cs="仿宋_GB2312"/>
                <w:i w:val="0"/>
                <w:iCs w:val="0"/>
                <w:color w:val="000000"/>
                <w:kern w:val="0"/>
                <w:sz w:val="24"/>
                <w:szCs w:val="24"/>
                <w:u w:val="none"/>
                <w:lang w:val="en-US" w:eastAsia="zh-CN" w:bidi="ar"/>
              </w:rPr>
              <w:t>闽环保水〔2009〕7号</w:t>
            </w:r>
            <w:r>
              <w:rPr>
                <w:rStyle w:val="10"/>
                <w:rFonts w:hint="eastAsia" w:ascii="仿宋_GB2312" w:hAnsi="宋体" w:eastAsia="仿宋_GB2312" w:cs="仿宋_GB2312"/>
                <w:i w:val="0"/>
                <w:iCs w:val="0"/>
                <w:color w:val="auto"/>
                <w:sz w:val="24"/>
                <w:szCs w:val="24"/>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3</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福建省环保厅关于转发环保部《全国环境监察标准化建设标准》和《环境监察标准化建设达标验收管理办法》的通知（闽环保总队〔2011〕91号）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4</w:t>
            </w:r>
          </w:p>
        </w:tc>
        <w:tc>
          <w:tcPr>
            <w:tcW w:w="4552" w:type="pct"/>
            <w:noWrap w:val="0"/>
            <w:vAlign w:val="center"/>
          </w:tcPr>
          <w:p>
            <w:pPr>
              <w:keepNext w:val="0"/>
              <w:keepLines w:val="0"/>
              <w:widowControl/>
              <w:suppressLineNumbers w:val="0"/>
              <w:jc w:val="both"/>
              <w:textAlignment w:val="center"/>
              <w:rPr>
                <w:rStyle w:val="10"/>
                <w:rFonts w:hint="eastAsia" w:ascii="仿宋_GB2312" w:hAnsi="宋体" w:eastAsia="仿宋_GB2312" w:cs="仿宋_GB2312"/>
                <w:i w:val="0"/>
                <w:iCs w:val="0"/>
                <w:color w:val="auto"/>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福建省环保厅关于印发《福建省水电站下泄流量在线监控运行考核办法（试行）》的通知（闽环保办〔2012〕1号）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4552" w:type="pct"/>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福建省环保厅关于切实做好流域面积500平方公里以下流域综合规划环境影响评价审查以及水利项目环评审批工作的通知（闽环保评〔2012〕5号）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6</w:t>
            </w:r>
          </w:p>
        </w:tc>
        <w:tc>
          <w:tcPr>
            <w:tcW w:w="4552" w:type="pct"/>
            <w:noWrap w:val="0"/>
            <w:vAlign w:val="center"/>
          </w:tcPr>
          <w:p>
            <w:pPr>
              <w:keepNext w:val="0"/>
              <w:keepLines w:val="0"/>
              <w:widowControl/>
              <w:suppressLineNumbers w:val="0"/>
              <w:jc w:val="both"/>
              <w:textAlignment w:val="center"/>
              <w:rPr>
                <w:rStyle w:val="10"/>
                <w:rFonts w:hint="eastAsia" w:ascii="仿宋_GB2312" w:hAnsi="宋体" w:eastAsia="仿宋_GB2312" w:cs="仿宋_GB2312"/>
                <w:i w:val="0"/>
                <w:iCs w:val="0"/>
                <w:color w:val="auto"/>
                <w:sz w:val="24"/>
                <w:szCs w:val="24"/>
                <w:u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福建省核应急办关于印发《福建省核应急办值班制度》的通知（闽核应急办〔2012〕24号）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7</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福建省核应急办关于各级核事故应急响应终止程序的意见（闽核应急办〔2013〕27号）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8</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福建省环保厅关于印发《福建省环保厅环境影响评价审批人员职业道德规范》的通知（闽环保评〔2013〕73号）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9</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福建省环保厅关于印发《环境影响评价专家管理办法（试行）》的通知（闽环保评〔2013〕74号）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10</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福建省环境保护厅关于进一步加强畜禽养殖污染防治统一监督管理工作的通知（闽环保然〔2014〕35号）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47" w:type="pct"/>
            <w:shd w:val="clear" w:color="auto" w:fill="auto"/>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11</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 福建省发改委 中国人民银行福州中心支行 福建银监局关于转发《企业环境信用评价办法》的通知（闽环保法〔2014〕40号）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7" w:type="pct"/>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12</w:t>
            </w:r>
          </w:p>
        </w:tc>
        <w:tc>
          <w:tcPr>
            <w:tcW w:w="4552" w:type="pct"/>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福建省环保厅转发《环保部办公厅关于全面推进生态文明建设示范区创建工作有关事项》的通知（闽环保然〔2015〕6号）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7" w:type="pct"/>
            <w:shd w:val="clear" w:color="auto" w:fill="auto"/>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13</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福建省环保厅关于印发《福建省建设项目环境影响评价文件分级审批管理规定》的通知（闽环发〔2015〕8号）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7" w:type="pct"/>
            <w:shd w:val="clear" w:color="auto" w:fill="auto"/>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14</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福建省环保厅转发《环保部办公厅关于在污染源日常环境监管领域推广随机抽查制度》的通知（闽环保总队〔2015〕87号）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7" w:type="pct"/>
            <w:shd w:val="clear" w:color="auto" w:fill="auto"/>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15</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福建省环保厅关于印发《核与辐射安全信息工作制度》的通知（闽环保核应急〔2016〕1号）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7" w:type="pct"/>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16</w:t>
            </w:r>
          </w:p>
        </w:tc>
        <w:tc>
          <w:tcPr>
            <w:tcW w:w="4552" w:type="pct"/>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福建省环保厅关于印发《福建省危险废物鉴别管理办法（试行）》的通知（闽环保防〔2016〕6号）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7" w:type="pct"/>
            <w:shd w:val="clear" w:color="auto" w:fill="auto"/>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4552" w:type="pct"/>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福建省环保厅关于做好建设项目环境影响评价信息公开工作的通知（闽环评函〔2016〕94号）</w:t>
            </w:r>
          </w:p>
        </w:tc>
      </w:tr>
    </w:tbl>
    <w:p>
      <w:r>
        <w:br w:type="page"/>
      </w: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宣布失效的行政规范性文件目录</w:t>
      </w:r>
    </w:p>
    <w:tbl>
      <w:tblPr>
        <w:tblStyle w:val="7"/>
        <w:tblW w:w="50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8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828" w:type="dxa"/>
            <w:noWrap w:val="0"/>
            <w:vAlign w:val="center"/>
          </w:tcPr>
          <w:p>
            <w:pPr>
              <w:keepNext w:val="0"/>
              <w:keepLines w:val="0"/>
              <w:widowControl/>
              <w:suppressLineNumbers w:val="0"/>
              <w:adjustRightInd w:val="0"/>
              <w:snapToGrid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序号</w:t>
            </w:r>
          </w:p>
        </w:tc>
        <w:tc>
          <w:tcPr>
            <w:tcW w:w="8271" w:type="dxa"/>
            <w:noWrap w:val="0"/>
            <w:vAlign w:val="center"/>
          </w:tcPr>
          <w:p>
            <w:pPr>
              <w:keepNext w:val="0"/>
              <w:keepLines w:val="0"/>
              <w:widowControl/>
              <w:suppressLineNumbers w:val="0"/>
              <w:adjustRightInd w:val="0"/>
              <w:snapToGrid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文件名称（包括文号）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u w:val="none"/>
                <w:lang w:val="en-US" w:eastAsia="zh-CN" w:bidi="ar-SA"/>
              </w:rPr>
              <w:t>1</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 福建省财政厅关于印发《福建省农村环境连片整治示范项目管理暂行办法》的通知（闽环保然〔2010〕33号）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u w:val="none"/>
                <w:lang w:val="en-US" w:eastAsia="zh-CN" w:bidi="ar-SA"/>
              </w:rPr>
              <w:t>2</w:t>
            </w:r>
          </w:p>
        </w:tc>
        <w:tc>
          <w:tcPr>
            <w:tcW w:w="8271" w:type="dxa"/>
            <w:noWrap w:val="0"/>
            <w:vAlign w:val="center"/>
          </w:tcPr>
          <w:p>
            <w:pPr>
              <w:keepNext w:val="0"/>
              <w:keepLines w:val="0"/>
              <w:widowControl/>
              <w:suppressLineNumbers w:val="0"/>
              <w:adjustRightInd w:val="0"/>
              <w:snapToGrid w:val="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福建省环保厅关于印发《福建省省级生态乡镇申报及管理规定》的通知（闽环保然〔2010〕36号）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8271" w:type="dxa"/>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福建省环保厅关于在县级环保部门成立环境保护人民调解委员会的通知（闽环保法〔2011〕8号）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4</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福建省环保厅关于加强化工行业废水污染物减排工作的通知（闽环保总量〔2011〕64号）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5</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福建省环保厅关于印发《福建省级生态县（市、区）创建考核验收与管理工作意见》的通知（闽环保然〔2012〕6号）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6</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福建省核应急办关于继续做好地方场外核应急准备工作的通知（闽核应急办〔2012〕21号）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7</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福建省环保厅关于印发《福建省级生态市创建考核验收与管理工作意见》的通知（闽环保然〔2012〕45号）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noWrap w:val="0"/>
            <w:vAlign w:val="center"/>
          </w:tcPr>
          <w:p>
            <w:pPr>
              <w:keepNext w:val="0"/>
              <w:keepLines w:val="0"/>
              <w:widowControl/>
              <w:suppressLineNumbers w:val="0"/>
              <w:adjustRightInd w:val="0"/>
              <w:snapToGrid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8</w:t>
            </w:r>
          </w:p>
        </w:tc>
        <w:tc>
          <w:tcPr>
            <w:tcW w:w="8271" w:type="dxa"/>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福建省环保厅关于取消强制性清洁生产审核咨询机构备案的通知（闽环保防〔2015〕49号）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9</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福建省环保厅关于开展燃煤机组超低排放验收工作的通知（闽环保总量〔2016〕3号）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trPr>
        <w:tc>
          <w:tcPr>
            <w:tcW w:w="828" w:type="dxa"/>
            <w:noWrap w:val="0"/>
            <w:vAlign w:val="center"/>
          </w:tcPr>
          <w:p>
            <w:pPr>
              <w:keepNext w:val="0"/>
              <w:keepLines w:val="0"/>
              <w:widowControl/>
              <w:suppressLineNumbers w:val="0"/>
              <w:adjustRightInd w:val="0"/>
              <w:snapToGrid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10</w:t>
            </w:r>
          </w:p>
        </w:tc>
        <w:tc>
          <w:tcPr>
            <w:tcW w:w="8271" w:type="dxa"/>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福建省环保厅 福建省经信委 福建省发改委 福建省物价局 福建能源监管办关于印发《福建省全面实施燃煤电厂超低排放和节能改造工作方案》的通知（闽环发〔2016〕6号）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828" w:type="dxa"/>
            <w:shd w:val="clear" w:color="auto" w:fill="auto"/>
            <w:noWrap w:val="0"/>
            <w:vAlign w:val="center"/>
          </w:tcPr>
          <w:p>
            <w:pPr>
              <w:keepNext w:val="0"/>
              <w:keepLines w:val="0"/>
              <w:widowControl/>
              <w:suppressLineNumbers w:val="0"/>
              <w:adjustRightInd w:val="0"/>
              <w:snapToGrid w:val="0"/>
              <w:jc w:val="center"/>
              <w:textAlignment w:val="center"/>
              <w:rPr>
                <w:rFonts w:hint="default"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11</w:t>
            </w:r>
          </w:p>
        </w:tc>
        <w:tc>
          <w:tcPr>
            <w:tcW w:w="8271" w:type="dxa"/>
            <w:shd w:val="clear" w:color="auto" w:fill="auto"/>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福建省生态环境厅 福建省财政厅关于印发《福建省生态环境违法行为举报奖励暂行办法》的通知（闽环发〔2020〕12号）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828" w:type="dxa"/>
            <w:noWrap w:val="0"/>
            <w:vAlign w:val="center"/>
          </w:tcPr>
          <w:p>
            <w:pPr>
              <w:keepNext w:val="0"/>
              <w:keepLines w:val="0"/>
              <w:widowControl/>
              <w:suppressLineNumbers w:val="0"/>
              <w:adjustRightInd w:val="0"/>
              <w:snapToGrid w:val="0"/>
              <w:jc w:val="center"/>
              <w:textAlignment w:val="center"/>
              <w:rPr>
                <w:rFonts w:hint="default"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12</w:t>
            </w:r>
          </w:p>
        </w:tc>
        <w:tc>
          <w:tcPr>
            <w:tcW w:w="8271" w:type="dxa"/>
            <w:noWrap w:val="0"/>
            <w:vAlign w:val="center"/>
          </w:tcPr>
          <w:p>
            <w:pPr>
              <w:keepNext w:val="0"/>
              <w:keepLines w:val="0"/>
              <w:widowControl/>
              <w:suppressLineNumbers w:val="0"/>
              <w:adjustRightInd w:val="0"/>
              <w:snapToGrid w:val="0"/>
              <w:jc w:val="both"/>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福建省生态环境厅关于印发《福建省固体废物环境信息化应用管理规定（试行）》的通知（闽环保固体〔2021〕25号）</w:t>
            </w:r>
          </w:p>
        </w:tc>
      </w:tr>
    </w:tbl>
    <w:p>
      <w:r>
        <w:br w:type="page"/>
      </w: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延长有效期的行政规范性文件目录</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6370"/>
        <w:gridCol w:w="2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序号</w:t>
            </w:r>
          </w:p>
        </w:tc>
        <w:tc>
          <w:tcPr>
            <w:tcW w:w="6371" w:type="dxa"/>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文件名称（包括文号）</w:t>
            </w:r>
          </w:p>
        </w:tc>
        <w:tc>
          <w:tcPr>
            <w:tcW w:w="2116" w:type="dxa"/>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56" w:type="dxa"/>
            <w:shd w:val="clear" w:color="auto" w:fill="auto"/>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u w:val="none"/>
                <w:lang w:val="en-US" w:eastAsia="zh-CN" w:bidi="ar-SA"/>
              </w:rPr>
              <w:t>1</w:t>
            </w:r>
          </w:p>
        </w:tc>
        <w:tc>
          <w:tcPr>
            <w:tcW w:w="6371" w:type="dxa"/>
            <w:shd w:val="clear" w:color="auto" w:fill="auto"/>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福建省生态环境厅关于印发《进一步优化环境影响评价管理 更好服务高质量发展的若干措施》的通知（闽环规〔2024〕2号）</w:t>
            </w:r>
          </w:p>
        </w:tc>
        <w:tc>
          <w:tcPr>
            <w:tcW w:w="2116" w:type="dxa"/>
            <w:shd w:val="clear" w:color="auto" w:fill="auto"/>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有效期至2026年12月31日</w:t>
            </w:r>
          </w:p>
        </w:tc>
      </w:tr>
    </w:tbl>
    <w:p>
      <w:pPr>
        <w:pStyle w:val="2"/>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sectPr>
          <w:footerReference r:id="rId3" w:type="default"/>
          <w:footerReference r:id="rId4" w:type="even"/>
          <w:pgSz w:w="11907" w:h="16840"/>
          <w:pgMar w:top="2098" w:right="1588" w:bottom="2098" w:left="1588" w:header="851" w:footer="1701" w:gutter="0"/>
          <w:pgNumType w:fmt="numberInDash"/>
          <w:cols w:space="720" w:num="1"/>
          <w:docGrid w:type="lines" w:linePitch="435" w:charSpace="0"/>
        </w:sectPr>
      </w:pPr>
    </w:p>
    <w:p>
      <w:pPr>
        <w:pStyle w:val="2"/>
        <w:rPr>
          <w:rFonts w:hint="eastAsi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rPr>
      </w:pPr>
    </w:p>
    <w:p>
      <w:pPr>
        <w:autoSpaceDN w:val="0"/>
        <w:adjustRightInd w:val="0"/>
        <w:snapToGrid w:val="0"/>
        <w:ind w:firstLine="280" w:firstLineChars="100"/>
        <w:rPr>
          <w:rFonts w:hint="eastAsia" w:ascii="仿宋_GB2312" w:eastAsia="仿宋_GB2312" w:cs="Times New Roman"/>
          <w:sz w:val="28"/>
          <w:szCs w:val="28"/>
          <w:lang w:bidi="ar-SA"/>
        </w:rPr>
      </w:pPr>
    </w:p>
    <w:p>
      <w:pPr>
        <w:autoSpaceDN w:val="0"/>
        <w:adjustRightInd w:val="0"/>
        <w:snapToGrid w:val="0"/>
        <w:ind w:firstLine="280" w:firstLineChars="100"/>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ascii="仿宋_GB2312" w:eastAsia="仿宋_GB2312" w:cs="Times New Roman"/>
          <w:sz w:val="28"/>
          <w:szCs w:val="28"/>
          <w:lang w:bidi="ar-SA"/>
        </w:rPr>
      </w:pPr>
    </w:p>
    <w:p>
      <w:pPr>
        <w:pStyle w:val="3"/>
        <w:rPr>
          <w:rFonts w:hint="eastAsia" w:ascii="仿宋_GB2312" w:eastAsia="仿宋_GB2312" w:cs="Times New Roman"/>
          <w:sz w:val="28"/>
          <w:szCs w:val="28"/>
          <w:lang w:bidi="ar-SA"/>
        </w:rPr>
      </w:pPr>
    </w:p>
    <w:p>
      <w:pPr>
        <w:rPr>
          <w:rFonts w:hint="eastAsia" w:ascii="仿宋_GB2312" w:eastAsia="仿宋_GB2312" w:cs="Times New Roman"/>
          <w:sz w:val="28"/>
          <w:szCs w:val="28"/>
          <w:lang w:bidi="ar-SA"/>
        </w:rPr>
      </w:pPr>
    </w:p>
    <w:p>
      <w:pPr>
        <w:pStyle w:val="2"/>
        <w:rPr>
          <w:rFonts w:hint="eastAsia"/>
        </w:rPr>
      </w:pPr>
    </w:p>
    <w:p>
      <w:pPr>
        <w:pBdr>
          <w:top w:val="none" w:color="auto" w:sz="0" w:space="0"/>
          <w:bottom w:val="single" w:color="000000" w:sz="12" w:space="1"/>
        </w:pBdr>
        <w:autoSpaceDN w:val="0"/>
        <w:adjustRightInd w:val="0"/>
        <w:snapToGrid w:val="0"/>
        <w:spacing w:line="360" w:lineRule="auto"/>
        <w:rPr>
          <w:rFonts w:ascii="Times New Roman" w:hAnsi="Times New Roman" w:eastAsia="仿宋_GB2312" w:cs="Times New Roman"/>
          <w:sz w:val="22"/>
          <w:szCs w:val="22"/>
        </w:rPr>
      </w:pPr>
    </w:p>
    <w:p>
      <w:pPr>
        <w:pBdr>
          <w:top w:val="none" w:color="auto" w:sz="0" w:space="0"/>
          <w:bottom w:val="single" w:color="000000" w:sz="12" w:space="1"/>
        </w:pBdr>
        <w:autoSpaceDN w:val="0"/>
        <w:adjustRightInd w:val="0"/>
        <w:snapToGrid w:val="0"/>
        <w:spacing w:line="360" w:lineRule="auto"/>
        <w:rPr>
          <w:rFonts w:ascii="Times New Roman" w:hAnsi="Times New Roman" w:eastAsia="仿宋_GB2312" w:cs="Times New Roman"/>
          <w:sz w:val="24"/>
          <w:szCs w:val="24"/>
        </w:rPr>
      </w:pPr>
    </w:p>
    <w:p>
      <w:pPr>
        <w:pBdr>
          <w:top w:val="none" w:color="auto" w:sz="0" w:space="0"/>
          <w:bottom w:val="single" w:color="000000" w:sz="6" w:space="1"/>
        </w:pBdr>
        <w:autoSpaceDN w:val="0"/>
        <w:adjustRightInd w:val="0"/>
        <w:snapToGrid/>
        <w:ind w:firstLine="280" w:firstLineChars="100"/>
        <w:rPr>
          <w:rFonts w:hint="default" w:ascii="仿宋_GB2312" w:eastAsia="仿宋_GB2312" w:cs="Times New Roman"/>
          <w:sz w:val="28"/>
          <w:szCs w:val="28"/>
          <w:lang w:eastAsia="zh-CN" w:bidi="ar-SA"/>
        </w:rPr>
      </w:pPr>
      <w:r>
        <w:rPr>
          <w:rFonts w:hint="eastAsia" w:ascii="仿宋_GB2312" w:hAnsi="Times New Roman" w:eastAsia="仿宋_GB2312" w:cs="Times New Roman"/>
          <w:sz w:val="28"/>
          <w:szCs w:val="20"/>
        </w:rPr>
        <w:t>抄送：</w:t>
      </w:r>
      <w:r>
        <w:rPr>
          <w:rFonts w:hint="default" w:ascii="仿宋_GB2312" w:eastAsia="仿宋_GB2312" w:cs="Times New Roman"/>
          <w:sz w:val="28"/>
          <w:szCs w:val="28"/>
          <w:lang w:eastAsia="zh-CN" w:bidi="ar-SA"/>
        </w:rPr>
        <w:t>省发改委、工信厅、财政厅、住建厅、水利厅、农业农村厅，</w:t>
      </w:r>
    </w:p>
    <w:p>
      <w:pPr>
        <w:pBdr>
          <w:top w:val="none" w:color="auto" w:sz="0" w:space="0"/>
          <w:bottom w:val="single" w:color="000000" w:sz="6" w:space="1"/>
        </w:pBdr>
        <w:autoSpaceDN w:val="0"/>
        <w:adjustRightInd w:val="0"/>
        <w:snapToGrid/>
        <w:ind w:firstLine="1120" w:firstLineChars="400"/>
        <w:rPr>
          <w:rFonts w:hint="eastAsia" w:ascii="仿宋_GB2312" w:hAnsi="Times New Roman" w:eastAsia="仿宋_GB2312" w:cs="Times New Roman"/>
          <w:sz w:val="28"/>
          <w:szCs w:val="20"/>
        </w:rPr>
      </w:pPr>
      <w:r>
        <w:rPr>
          <w:rFonts w:hint="default" w:ascii="仿宋_GB2312" w:eastAsia="仿宋_GB2312" w:cs="Times New Roman"/>
          <w:sz w:val="28"/>
          <w:szCs w:val="28"/>
          <w:lang w:eastAsia="zh-CN" w:bidi="ar-SA"/>
        </w:rPr>
        <w:t>人行省分行、国家能源局福建监管办、福建金融监管局</w:t>
      </w:r>
      <w:r>
        <w:rPr>
          <w:rFonts w:hint="eastAsia" w:ascii="仿宋_GB2312" w:hAnsi="Times New Roman" w:eastAsia="仿宋_GB2312" w:cs="Times New Roman"/>
          <w:sz w:val="28"/>
          <w:szCs w:val="20"/>
        </w:rPr>
        <w:t>。</w:t>
      </w:r>
    </w:p>
    <w:p>
      <w:pPr>
        <w:pBdr>
          <w:top w:val="none" w:color="auto" w:sz="0" w:space="0"/>
          <w:bottom w:val="single" w:color="000000" w:sz="12" w:space="1"/>
        </w:pBdr>
        <w:autoSpaceDN w:val="0"/>
        <w:adjustRightInd w:val="0"/>
        <w:ind w:firstLine="280" w:firstLineChars="100"/>
        <w:rPr>
          <w:rFonts w:hint="eastAsia" w:ascii="仿宋_GB2312" w:eastAsia="仿宋_GB2312" w:cs="Times New Roman"/>
          <w:sz w:val="28"/>
          <w:szCs w:val="28"/>
          <w:lang w:bidi="ar-SA"/>
        </w:rPr>
      </w:pPr>
      <w:r>
        <w:rPr>
          <w:rFonts w:hint="eastAsia" w:ascii="仿宋_GB2312" w:hAnsi="Times New Roman" w:eastAsia="仿宋_GB2312" w:cs="Times New Roman"/>
          <w:sz w:val="28"/>
          <w:szCs w:val="28"/>
          <w:lang w:bidi="ar-SA"/>
        </w:rPr>
        <w:t xml:space="preserve">福建省生态环境厅办公室      </w:t>
      </w:r>
      <w:r>
        <w:rPr>
          <w:rFonts w:hint="eastAsia" w:ascii="仿宋_GB2312" w:hAnsi="Times New Roman" w:eastAsia="仿宋_GB2312" w:cs="Times New Roman"/>
          <w:sz w:val="28"/>
          <w:szCs w:val="28"/>
          <w:lang w:val="en-US" w:eastAsia="zh-CN" w:bidi="ar-SA"/>
        </w:rPr>
        <w:t xml:space="preserve">   </w:t>
      </w:r>
      <w:r>
        <w:rPr>
          <w:rFonts w:hint="eastAsia" w:ascii="仿宋_GB2312" w:hAnsi="Times New Roman" w:eastAsia="仿宋_GB2312" w:cs="Times New Roman"/>
          <w:sz w:val="28"/>
          <w:szCs w:val="28"/>
          <w:lang w:bidi="ar-SA"/>
        </w:rPr>
        <w:t xml:space="preserve">           </w:t>
      </w:r>
      <w:r>
        <w:rPr>
          <w:rFonts w:hint="eastAsia" w:ascii="仿宋_GB2312" w:hAnsi="Times New Roman" w:eastAsia="仿宋_GB2312" w:cs="Times New Roman"/>
          <w:sz w:val="28"/>
          <w:szCs w:val="28"/>
          <w:lang w:val="en-US" w:eastAsia="zh-CN" w:bidi="ar-SA"/>
        </w:rPr>
        <w:t>2026</w:t>
      </w:r>
      <w:r>
        <w:rPr>
          <w:rFonts w:hint="eastAsia" w:ascii="仿宋_GB2312" w:hAnsi="Times New Roman" w:eastAsia="仿宋_GB2312" w:cs="Times New Roman"/>
          <w:sz w:val="28"/>
          <w:szCs w:val="28"/>
          <w:lang w:bidi="ar-SA"/>
        </w:rPr>
        <w:t>年</w:t>
      </w:r>
      <w:r>
        <w:rPr>
          <w:rFonts w:hint="eastAsia" w:ascii="仿宋_GB2312" w:hAnsi="Times New Roman" w:eastAsia="仿宋_GB2312" w:cs="Times New Roman"/>
          <w:sz w:val="28"/>
          <w:szCs w:val="28"/>
          <w:lang w:val="en-US" w:eastAsia="zh-CN" w:bidi="ar-SA"/>
        </w:rPr>
        <w:t>8</w:t>
      </w:r>
      <w:r>
        <w:rPr>
          <w:rFonts w:hint="eastAsia" w:ascii="仿宋_GB2312" w:hAnsi="Times New Roman" w:eastAsia="仿宋_GB2312" w:cs="Times New Roman"/>
          <w:sz w:val="28"/>
          <w:szCs w:val="28"/>
          <w:lang w:bidi="ar-SA"/>
        </w:rPr>
        <w:t>月</w:t>
      </w:r>
      <w:r>
        <w:rPr>
          <w:rFonts w:hint="eastAsia" w:ascii="仿宋_GB2312" w:hAnsi="Times New Roman" w:eastAsia="仿宋_GB2312" w:cs="Times New Roman"/>
          <w:sz w:val="28"/>
          <w:szCs w:val="28"/>
          <w:lang w:val="en-US" w:eastAsia="zh-CN" w:bidi="ar-SA"/>
        </w:rPr>
        <w:t>13</w:t>
      </w:r>
      <w:r>
        <w:rPr>
          <w:rFonts w:hint="eastAsia" w:ascii="仿宋_GB2312" w:hAnsi="Times New Roman" w:eastAsia="仿宋_GB2312" w:cs="Times New Roman"/>
          <w:sz w:val="28"/>
          <w:szCs w:val="28"/>
          <w:lang w:bidi="ar-SA"/>
        </w:rPr>
        <w:t>日印发</w:t>
      </w:r>
    </w:p>
    <w:sectPr>
      <w:footerReference r:id="rId5" w:type="default"/>
      <w:footerReference r:id="rId6" w:type="even"/>
      <w:pgSz w:w="11907" w:h="16840"/>
      <w:pgMar w:top="2098" w:right="1588" w:bottom="2098" w:left="1588" w:header="851" w:footer="1701" w:gutter="0"/>
      <w:paperSrc/>
      <w:pgNumType w:fmt="numberInDash"/>
      <w:cols w:space="0" w:num="1"/>
      <w:rtlGutter w:val="0"/>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w:panose1 w:val="020B0704020202020204"/>
    <w:charset w:val="00"/>
    <w:family w:val="auto"/>
    <w:pitch w:val="default"/>
    <w:sig w:usb0="E0002AFF" w:usb1="C0007843" w:usb2="00000009" w:usb3="00000000" w:csb0="400001FF" w:csb1="FFFF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9"/>
        <w:rFonts w:hint="eastAsia" w:ascii="宋体" w:eastAsia="宋体"/>
        <w:sz w:val="28"/>
        <w:szCs w:val="28"/>
      </w:rPr>
      <w:t xml:space="preserve">                                                    </w:t>
    </w:r>
    <w:r>
      <w:rPr>
        <w:rStyle w:val="9"/>
        <w:rFonts w:hint="eastAsia" w:ascii="宋体" w:eastAsia="宋体"/>
        <w:sz w:val="28"/>
        <w:szCs w:val="28"/>
      </w:rPr>
      <w:fldChar w:fldCharType="begin"/>
    </w:r>
    <w:r>
      <w:rPr>
        <w:rStyle w:val="9"/>
        <w:rFonts w:hint="eastAsia" w:ascii="宋体" w:eastAsia="宋体"/>
        <w:sz w:val="28"/>
        <w:szCs w:val="28"/>
      </w:rPr>
      <w:instrText xml:space="preserve">PAGE  </w:instrText>
    </w:r>
    <w:r>
      <w:rPr>
        <w:rStyle w:val="9"/>
        <w:rFonts w:hint="eastAsia" w:ascii="宋体" w:eastAsia="宋体"/>
        <w:sz w:val="28"/>
        <w:szCs w:val="28"/>
      </w:rPr>
      <w:fldChar w:fldCharType="separate"/>
    </w:r>
    <w:r>
      <w:rPr>
        <w:rStyle w:val="9"/>
        <w:rFonts w:hint="eastAsia" w:ascii="宋体" w:eastAsia="宋体"/>
        <w:sz w:val="28"/>
        <w:szCs w:val="28"/>
      </w:rPr>
      <w:t>- 1 -</w:t>
    </w:r>
    <w:r>
      <w:rPr>
        <w:rStyle w:val="9"/>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420" w:firstLineChars="150"/>
      <w:rPr>
        <w:rFonts w:hint="eastAsia" w:ascii="宋体" w:eastAsia="宋体" w:cs="Times New Roman"/>
        <w:sz w:val="28"/>
        <w:szCs w:val="28"/>
        <w:lang w:bidi="ar-SA"/>
      </w:rPr>
    </w:pPr>
    <w:r>
      <w:rPr>
        <w:rFonts w:hint="eastAsia" w:ascii="宋体" w:eastAsia="宋体" w:cs="Times New Roman"/>
        <w:sz w:val="28"/>
        <w:szCs w:val="28"/>
        <w:lang w:bidi="ar-SA"/>
      </w:rPr>
      <w:fldChar w:fldCharType="begin"/>
    </w:r>
    <w:r>
      <w:rPr>
        <w:rFonts w:hint="eastAsia" w:ascii="宋体" w:eastAsia="宋体" w:cs="Times New Roman"/>
        <w:sz w:val="28"/>
        <w:szCs w:val="28"/>
        <w:lang w:bidi="ar-SA"/>
      </w:rPr>
      <w:instrText xml:space="preserve">PAGE  </w:instrText>
    </w:r>
    <w:r>
      <w:rPr>
        <w:rFonts w:hint="eastAsia" w:ascii="宋体" w:eastAsia="宋体" w:cs="Times New Roman"/>
        <w:sz w:val="28"/>
        <w:szCs w:val="28"/>
        <w:lang w:bidi="ar-SA"/>
      </w:rPr>
      <w:fldChar w:fldCharType="separate"/>
    </w:r>
    <w:r>
      <w:rPr>
        <w:rFonts w:hint="eastAsia" w:ascii="宋体" w:eastAsia="宋体" w:cs="Times New Roman"/>
        <w:sz w:val="28"/>
        <w:szCs w:val="28"/>
        <w:lang w:bidi="ar-SA"/>
      </w:rPr>
      <w:t>- 2 -</w:t>
    </w:r>
    <w:r>
      <w:rPr>
        <w:rFonts w:hint="eastAsia" w:ascii="宋体" w:eastAsia="宋体" w:cs="Times New Roman"/>
        <w:sz w:val="28"/>
        <w:szCs w:val="28"/>
        <w:lang w:bidi="ar-S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9"/>
        <w:rFonts w:hint="eastAsia" w:ascii="宋体" w:eastAsia="宋体"/>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420" w:firstLineChars="150"/>
      <w:rPr>
        <w:rFonts w:hint="eastAsia" w:ascii="宋体" w:eastAsia="宋体" w:cs="Times New Roman"/>
        <w:sz w:val="28"/>
        <w:szCs w:val="28"/>
        <w:lang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true"/>
  <w:documentProtection w:enforcement="0"/>
  <w:defaultTabStop w:val="420"/>
  <w:hyphenationZone w:val="360"/>
  <w:evenAndOddHeaders w:val="true"/>
  <w:drawingGridHorizontalSpacing w:val="160"/>
  <w:drawingGridVerticalSpacing w:val="435"/>
  <w:displayHorizontalDrawingGridEvery w:val="0"/>
  <w:displayVerticalDrawingGridEvery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394"/>
    <w:rsid w:val="09C77A1F"/>
    <w:rsid w:val="0BCC3A55"/>
    <w:rsid w:val="0CE6663F"/>
    <w:rsid w:val="0E6C0752"/>
    <w:rsid w:val="154A7B90"/>
    <w:rsid w:val="1E76155B"/>
    <w:rsid w:val="28F78342"/>
    <w:rsid w:val="30466561"/>
    <w:rsid w:val="37E644E0"/>
    <w:rsid w:val="4ADD1B7C"/>
    <w:rsid w:val="4D804C92"/>
    <w:rsid w:val="5A7243EC"/>
    <w:rsid w:val="6FDF210E"/>
    <w:rsid w:val="B77C9256"/>
    <w:rsid w:val="CFFFE7EC"/>
    <w:rsid w:val="DF5F2390"/>
    <w:rsid w:val="F64B3F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Arial"/>
      <w:kern w:val="2"/>
      <w:sz w:val="32"/>
      <w:szCs w:val="22"/>
      <w:lang w:val="en-US" w:eastAsia="zh-CN" w:bidi="ar-SA"/>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next w:val="3"/>
    <w:qFormat/>
    <w:uiPriority w:val="0"/>
    <w:pPr>
      <w:widowControl w:val="0"/>
      <w:spacing w:line="240" w:lineRule="atLeast"/>
      <w:ind w:firstLine="200" w:firstLineChars="200"/>
      <w:jc w:val="both"/>
    </w:pPr>
    <w:rPr>
      <w:rFonts w:ascii="Times New Roman" w:hAnsi="Times New Roman" w:eastAsia="仿宋_GB2312" w:cs="Times New Roman"/>
      <w:spacing w:val="0"/>
      <w:kern w:val="2"/>
      <w:sz w:val="31"/>
      <w:szCs w:val="31"/>
      <w:lang w:val="en-US" w:eastAsia="zh-CN" w:bidi="ar-SA"/>
    </w:rPr>
  </w:style>
  <w:style w:type="paragraph" w:styleId="3">
    <w:name w:val="toc 4"/>
    <w:next w:val="1"/>
    <w:qFormat/>
    <w:uiPriority w:val="0"/>
    <w:pPr>
      <w:widowControl w:val="0"/>
      <w:wordWrap w:val="0"/>
      <w:spacing w:line="240" w:lineRule="atLeast"/>
      <w:ind w:left="850"/>
      <w:jc w:val="both"/>
    </w:pPr>
    <w:rPr>
      <w:rFonts w:ascii="Times New Roman" w:hAnsi="Times New Roman" w:eastAsia="仿宋_GB2312" w:cs="黑体"/>
      <w:spacing w:val="0"/>
      <w:kern w:val="2"/>
      <w:sz w:val="31"/>
      <w:szCs w:val="31"/>
      <w:lang w:val="en-US" w:eastAsia="zh-CN" w:bidi="ar-SA"/>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evecom</Company>
  <Pages>7</Pages>
  <Words>1917</Words>
  <Characters>2055</Characters>
  <TotalTime>1</TotalTime>
  <ScaleCrop>false</ScaleCrop>
  <LinksUpToDate>false</LinksUpToDate>
  <CharactersWithSpaces>2145</CharactersWithSpaces>
  <Application>WPS Office_11.8.2.10251_F1E327BC-269C-435d-A152-05C5408002CA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2014-08-22T23:48:00Z</dcterms:created>
  <dc:creator>超级管理员</dc:creator>
  <cp:lastModifiedBy>周国贞</cp:lastModifiedBy>
  <cp:lastPrinted>2026-08-12T17:14:00Z</cp:lastPrinted>
  <dcterms:modified xsi:type="dcterms:W3CDTF">2026-08-13T09:39:57Z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2D45E6C7799D4AE1BF59D63C0D0AA46C</vt:lpwstr>
  </property>
</Properties>
</file>